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4881" w14:textId="77777777" w:rsidR="00555A6C" w:rsidRPr="0085315C" w:rsidRDefault="00555A6C" w:rsidP="002C163D">
      <w:pPr>
        <w:jc w:val="center"/>
      </w:pPr>
      <w:r w:rsidRPr="0085315C">
        <w:t>СРАВНИТЕЛЬНАЯ ТАБЛИЦА</w:t>
      </w:r>
    </w:p>
    <w:p w14:paraId="73BAB351" w14:textId="77777777" w:rsidR="00100116" w:rsidRDefault="00100116" w:rsidP="002C163D">
      <w:pPr>
        <w:pStyle w:val="1"/>
        <w:ind w:firstLine="709"/>
        <w:jc w:val="center"/>
      </w:pPr>
      <w:r>
        <w:t xml:space="preserve">к проекту закона Приднестровской Молдавской Республики </w:t>
      </w:r>
    </w:p>
    <w:p w14:paraId="5CB62688" w14:textId="0C364F80" w:rsidR="00100116" w:rsidRPr="00CE48A6" w:rsidRDefault="00100116" w:rsidP="002C163D">
      <w:pPr>
        <w:pStyle w:val="1"/>
        <w:ind w:firstLine="709"/>
        <w:jc w:val="center"/>
        <w:rPr>
          <w:szCs w:val="24"/>
        </w:rPr>
      </w:pPr>
      <w:r>
        <w:t>«</w:t>
      </w:r>
      <w:r w:rsidRPr="00CE48A6">
        <w:rPr>
          <w:szCs w:val="24"/>
        </w:rPr>
        <w:t>О внесении изменений и дополнений</w:t>
      </w:r>
    </w:p>
    <w:p w14:paraId="52F10F3D" w14:textId="77777777" w:rsidR="00100116" w:rsidRPr="00CE48A6" w:rsidRDefault="00100116" w:rsidP="002C163D">
      <w:pPr>
        <w:widowControl w:val="0"/>
        <w:autoSpaceDE w:val="0"/>
        <w:autoSpaceDN w:val="0"/>
        <w:adjustRightInd w:val="0"/>
        <w:ind w:firstLine="709"/>
        <w:jc w:val="center"/>
      </w:pPr>
      <w:r w:rsidRPr="00CE48A6">
        <w:t xml:space="preserve">в Закон Приднестровской Молдавской Республики </w:t>
      </w:r>
    </w:p>
    <w:p w14:paraId="04E27D37" w14:textId="77777777" w:rsidR="00100116" w:rsidRPr="00CE48A6" w:rsidRDefault="00100116" w:rsidP="002C163D">
      <w:pPr>
        <w:widowControl w:val="0"/>
        <w:autoSpaceDE w:val="0"/>
        <w:autoSpaceDN w:val="0"/>
        <w:adjustRightInd w:val="0"/>
        <w:ind w:firstLine="709"/>
        <w:jc w:val="center"/>
      </w:pPr>
      <w:r w:rsidRPr="00CE48A6">
        <w:t>«О республиканском бюджете на 2024 год»</w:t>
      </w:r>
    </w:p>
    <w:p w14:paraId="092CE4C9" w14:textId="7FEA6997" w:rsidR="00555A6C" w:rsidRPr="0085315C" w:rsidRDefault="00555A6C" w:rsidP="002C163D"/>
    <w:tbl>
      <w:tblPr>
        <w:tblStyle w:val="a3"/>
        <w:tblW w:w="5112" w:type="pct"/>
        <w:tblLook w:val="04A0" w:firstRow="1" w:lastRow="0" w:firstColumn="1" w:lastColumn="0" w:noHBand="0" w:noVBand="1"/>
      </w:tblPr>
      <w:tblGrid>
        <w:gridCol w:w="687"/>
        <w:gridCol w:w="6961"/>
        <w:gridCol w:w="7238"/>
      </w:tblGrid>
      <w:tr w:rsidR="00CD33B0" w:rsidRPr="0085315C" w14:paraId="019C3E04" w14:textId="77777777" w:rsidTr="0001604F">
        <w:trPr>
          <w:trHeight w:val="619"/>
        </w:trPr>
        <w:tc>
          <w:tcPr>
            <w:tcW w:w="231" w:type="pct"/>
          </w:tcPr>
          <w:p w14:paraId="3C224024" w14:textId="65BBFBF5" w:rsidR="00CD33B0" w:rsidRPr="0085315C" w:rsidRDefault="00CD33B0" w:rsidP="002C163D">
            <w:pPr>
              <w:jc w:val="center"/>
            </w:pPr>
            <w:r w:rsidRPr="0085315C">
              <w:t>№ п/п</w:t>
            </w:r>
          </w:p>
        </w:tc>
        <w:tc>
          <w:tcPr>
            <w:tcW w:w="2338" w:type="pct"/>
            <w:vAlign w:val="center"/>
          </w:tcPr>
          <w:p w14:paraId="090381EB" w14:textId="369F82BE" w:rsidR="00CD33B0" w:rsidRPr="0085315C" w:rsidRDefault="00CD33B0" w:rsidP="002C163D">
            <w:pPr>
              <w:jc w:val="center"/>
            </w:pPr>
            <w:r w:rsidRPr="0085315C">
              <w:t>Действующая редакция</w:t>
            </w:r>
          </w:p>
        </w:tc>
        <w:tc>
          <w:tcPr>
            <w:tcW w:w="2431" w:type="pct"/>
            <w:vAlign w:val="center"/>
          </w:tcPr>
          <w:p w14:paraId="669BC9DE" w14:textId="20679050" w:rsidR="00CD33B0" w:rsidRPr="0085315C" w:rsidRDefault="00CD33B0" w:rsidP="002C163D">
            <w:pPr>
              <w:jc w:val="center"/>
            </w:pPr>
            <w:r w:rsidRPr="0085315C">
              <w:t>Предлагаемая редакция</w:t>
            </w:r>
          </w:p>
        </w:tc>
      </w:tr>
      <w:tr w:rsidR="00CD33B0" w:rsidRPr="0085315C" w14:paraId="75671408" w14:textId="77777777" w:rsidTr="0001604F">
        <w:trPr>
          <w:trHeight w:val="272"/>
        </w:trPr>
        <w:tc>
          <w:tcPr>
            <w:tcW w:w="231" w:type="pct"/>
          </w:tcPr>
          <w:p w14:paraId="353CC16F" w14:textId="6FD212B5" w:rsidR="00CD33B0" w:rsidRPr="0085315C" w:rsidRDefault="00CD33B0" w:rsidP="002C163D">
            <w:pPr>
              <w:ind w:firstLine="22"/>
              <w:jc w:val="center"/>
              <w:rPr>
                <w:bCs/>
              </w:rPr>
            </w:pPr>
            <w:r w:rsidRPr="0085315C">
              <w:rPr>
                <w:bCs/>
              </w:rPr>
              <w:t>1.</w:t>
            </w:r>
          </w:p>
        </w:tc>
        <w:tc>
          <w:tcPr>
            <w:tcW w:w="2338" w:type="pct"/>
          </w:tcPr>
          <w:p w14:paraId="5511314B" w14:textId="74F9FBC6" w:rsidR="00CD33B0" w:rsidRPr="0085315C" w:rsidRDefault="00CD33B0" w:rsidP="002C163D">
            <w:pPr>
              <w:ind w:firstLine="709"/>
              <w:jc w:val="both"/>
              <w:rPr>
                <w:bCs/>
              </w:rPr>
            </w:pPr>
            <w:r w:rsidRPr="002D5095">
              <w:rPr>
                <w:b/>
              </w:rPr>
              <w:t>Статья 1</w:t>
            </w:r>
            <w:r w:rsidRPr="0085315C">
              <w:rPr>
                <w:bCs/>
              </w:rPr>
              <w:t>.</w:t>
            </w:r>
          </w:p>
          <w:p w14:paraId="6212704C" w14:textId="77777777" w:rsidR="00966275" w:rsidRPr="0085315C" w:rsidRDefault="00966275" w:rsidP="002C163D">
            <w:pPr>
              <w:ind w:firstLine="709"/>
              <w:jc w:val="both"/>
            </w:pPr>
            <w:r w:rsidRPr="0085315C">
              <w:t xml:space="preserve">Утвердить основные характеристики консолидированного бюджета, в том числе: </w:t>
            </w:r>
          </w:p>
          <w:p w14:paraId="0EDCAB4A" w14:textId="4A4F1270" w:rsidR="00DD685E" w:rsidRPr="00DD685E" w:rsidRDefault="00DD685E" w:rsidP="002C163D">
            <w:pPr>
              <w:ind w:firstLine="709"/>
              <w:jc w:val="both"/>
            </w:pPr>
            <w:r w:rsidRPr="00DD685E">
              <w:t xml:space="preserve">а) доходы в сумме </w:t>
            </w:r>
            <w:r w:rsidR="0001604F">
              <w:t>3 699 221 636</w:t>
            </w:r>
            <w:r w:rsidRPr="00DD685E">
              <w:t xml:space="preserve"> рублей;</w:t>
            </w:r>
          </w:p>
          <w:p w14:paraId="42A3E3D0" w14:textId="62A777AF" w:rsidR="00DD685E" w:rsidRPr="00DD685E" w:rsidRDefault="00DD685E" w:rsidP="002C163D">
            <w:pPr>
              <w:ind w:firstLine="709"/>
              <w:jc w:val="both"/>
            </w:pPr>
            <w:proofErr w:type="gramStart"/>
            <w:r w:rsidRPr="00DD685E">
              <w:t>б</w:t>
            </w:r>
            <w:proofErr w:type="gramEnd"/>
            <w:r w:rsidRPr="00DD685E">
              <w:t xml:space="preserve">) предельные расходы в сумме </w:t>
            </w:r>
            <w:r w:rsidR="0001604F" w:rsidRPr="006E5AAD">
              <w:rPr>
                <w:b/>
              </w:rPr>
              <w:t>7 226 287 043</w:t>
            </w:r>
            <w:r w:rsidRPr="006E5AAD">
              <w:rPr>
                <w:b/>
              </w:rPr>
              <w:t xml:space="preserve"> рубля</w:t>
            </w:r>
            <w:r w:rsidRPr="00DD685E">
              <w:t>; </w:t>
            </w:r>
          </w:p>
          <w:p w14:paraId="0F136FE5" w14:textId="4AD3D8C9" w:rsidR="00CD33B0" w:rsidRPr="0085315C" w:rsidRDefault="00DD685E" w:rsidP="002C163D">
            <w:pPr>
              <w:ind w:firstLine="709"/>
              <w:jc w:val="both"/>
            </w:pPr>
            <w:proofErr w:type="gramStart"/>
            <w:r w:rsidRPr="00DD685E">
              <w:t>в</w:t>
            </w:r>
            <w:proofErr w:type="gramEnd"/>
            <w:r w:rsidRPr="00DD685E">
              <w:t xml:space="preserve">) предельный дефицит в сумме </w:t>
            </w:r>
            <w:r w:rsidR="0001604F" w:rsidRPr="006E5AAD">
              <w:rPr>
                <w:b/>
              </w:rPr>
              <w:t>3 527 065 407 рублей</w:t>
            </w:r>
            <w:r w:rsidR="0001604F">
              <w:t>, или 48,81</w:t>
            </w:r>
            <w:r w:rsidRPr="00DD685E">
              <w:t xml:space="preserve"> процента к предельному размеру расходов</w:t>
            </w:r>
            <w:r w:rsidR="00BB1D8A">
              <w:t>.</w:t>
            </w:r>
          </w:p>
        </w:tc>
        <w:tc>
          <w:tcPr>
            <w:tcW w:w="2431" w:type="pct"/>
          </w:tcPr>
          <w:p w14:paraId="1AD32818" w14:textId="77777777" w:rsidR="00CD33B0" w:rsidRPr="00B55B5E" w:rsidRDefault="00CD33B0" w:rsidP="002C163D">
            <w:pPr>
              <w:widowControl w:val="0"/>
              <w:ind w:firstLine="709"/>
              <w:jc w:val="both"/>
              <w:rPr>
                <w:b/>
                <w:bCs/>
              </w:rPr>
            </w:pPr>
            <w:r w:rsidRPr="00B55B5E">
              <w:rPr>
                <w:b/>
                <w:bCs/>
              </w:rPr>
              <w:t>Статья 1.</w:t>
            </w:r>
          </w:p>
          <w:p w14:paraId="7EFF3304" w14:textId="77777777" w:rsidR="0001604F" w:rsidRPr="00EF081D" w:rsidRDefault="0001604F" w:rsidP="002C163D">
            <w:pPr>
              <w:ind w:firstLine="709"/>
              <w:jc w:val="both"/>
            </w:pPr>
            <w:r w:rsidRPr="00EF081D">
              <w:t>Утвердить основные характеристики консолидированного бюджета, в том числе:</w:t>
            </w:r>
          </w:p>
          <w:p w14:paraId="1F551C9D" w14:textId="77777777" w:rsidR="0001604F" w:rsidRPr="00EF081D" w:rsidRDefault="0001604F" w:rsidP="002C163D">
            <w:pPr>
              <w:ind w:firstLine="709"/>
              <w:jc w:val="both"/>
            </w:pPr>
            <w:r w:rsidRPr="00EF081D">
              <w:t xml:space="preserve">а) доходы в сумме </w:t>
            </w:r>
            <w:r>
              <w:t>3 699 221 636</w:t>
            </w:r>
            <w:r w:rsidRPr="00EF081D">
              <w:t xml:space="preserve"> рублей;</w:t>
            </w:r>
          </w:p>
          <w:p w14:paraId="1F3765C4" w14:textId="77777777" w:rsidR="0001604F" w:rsidRPr="00EF081D" w:rsidRDefault="0001604F" w:rsidP="002C163D">
            <w:pPr>
              <w:ind w:firstLine="708"/>
              <w:jc w:val="both"/>
            </w:pPr>
            <w:proofErr w:type="gramStart"/>
            <w:r w:rsidRPr="00EF081D">
              <w:t>б</w:t>
            </w:r>
            <w:proofErr w:type="gramEnd"/>
            <w:r w:rsidRPr="00EF081D">
              <w:t xml:space="preserve">) предельные расходы в сумме </w:t>
            </w:r>
            <w:r w:rsidRPr="0001604F">
              <w:rPr>
                <w:b/>
              </w:rPr>
              <w:t>7 247 450 910</w:t>
            </w:r>
            <w:r w:rsidRPr="00EF081D">
              <w:t xml:space="preserve"> </w:t>
            </w:r>
            <w:r w:rsidRPr="006E5AAD">
              <w:rPr>
                <w:b/>
              </w:rPr>
              <w:t>рублей</w:t>
            </w:r>
            <w:r w:rsidRPr="00EF081D">
              <w:t>;</w:t>
            </w:r>
          </w:p>
          <w:p w14:paraId="77B85378" w14:textId="2B47C28E" w:rsidR="00CD33B0" w:rsidRPr="0085315C" w:rsidRDefault="0001604F" w:rsidP="002C163D">
            <w:pPr>
              <w:ind w:firstLine="709"/>
              <w:jc w:val="both"/>
            </w:pPr>
            <w:r w:rsidRPr="00EF081D">
              <w:t xml:space="preserve">в) предельный дефицит в сумме </w:t>
            </w:r>
            <w:r w:rsidRPr="0001604F">
              <w:rPr>
                <w:b/>
              </w:rPr>
              <w:t>3 548 229 274 рубля</w:t>
            </w:r>
            <w:r w:rsidRPr="00EF081D">
              <w:t xml:space="preserve"> или </w:t>
            </w:r>
            <w:r w:rsidRPr="0001604F">
              <w:rPr>
                <w:b/>
              </w:rPr>
              <w:t>48,96</w:t>
            </w:r>
            <w:r w:rsidRPr="00EF081D">
              <w:t xml:space="preserve"> процента к предельному размеру расходов</w:t>
            </w:r>
          </w:p>
        </w:tc>
      </w:tr>
      <w:tr w:rsidR="00CD33B0" w:rsidRPr="0085315C" w14:paraId="1B2CABD2" w14:textId="77777777" w:rsidTr="0001604F">
        <w:trPr>
          <w:trHeight w:val="272"/>
        </w:trPr>
        <w:tc>
          <w:tcPr>
            <w:tcW w:w="231" w:type="pct"/>
          </w:tcPr>
          <w:p w14:paraId="786AD412" w14:textId="11D87C47" w:rsidR="00CD33B0" w:rsidRPr="0085315C" w:rsidRDefault="00CD33B0" w:rsidP="002C163D">
            <w:pPr>
              <w:jc w:val="center"/>
              <w:rPr>
                <w:bCs/>
              </w:rPr>
            </w:pPr>
            <w:r w:rsidRPr="0085315C">
              <w:rPr>
                <w:bCs/>
              </w:rPr>
              <w:t>2.</w:t>
            </w:r>
          </w:p>
        </w:tc>
        <w:tc>
          <w:tcPr>
            <w:tcW w:w="2338" w:type="pct"/>
          </w:tcPr>
          <w:p w14:paraId="663DFE3C" w14:textId="76D58561" w:rsidR="00CD33B0" w:rsidRPr="00BB7457" w:rsidRDefault="00CD33B0" w:rsidP="002C163D">
            <w:pPr>
              <w:ind w:firstLine="709"/>
              <w:jc w:val="both"/>
              <w:rPr>
                <w:b/>
              </w:rPr>
            </w:pPr>
            <w:r w:rsidRPr="00BB7457">
              <w:rPr>
                <w:b/>
              </w:rPr>
              <w:t>Статья 2.</w:t>
            </w:r>
          </w:p>
          <w:p w14:paraId="52FC8683" w14:textId="2A8575C1" w:rsidR="00384E41" w:rsidRPr="00BB7457" w:rsidRDefault="00384E41" w:rsidP="002C163D">
            <w:pPr>
              <w:ind w:firstLine="709"/>
              <w:jc w:val="both"/>
            </w:pPr>
            <w:r w:rsidRPr="00BB7457">
              <w:t>1. Утвердить основные характеристики республиканского бюджета, в том числе:</w:t>
            </w:r>
          </w:p>
          <w:p w14:paraId="3CC13A37" w14:textId="798E5C93" w:rsidR="00384E41" w:rsidRPr="00BB7457" w:rsidRDefault="00384E41" w:rsidP="002C163D">
            <w:pPr>
              <w:ind w:firstLine="709"/>
              <w:jc w:val="both"/>
            </w:pPr>
            <w:r w:rsidRPr="00BB7457">
              <w:t xml:space="preserve">а) доходы в сумме </w:t>
            </w:r>
            <w:r w:rsidR="0001604F" w:rsidRPr="00BB7457">
              <w:t xml:space="preserve">2 235 753 026 </w:t>
            </w:r>
            <w:r w:rsidRPr="00BB7457">
              <w:t>рублей согласно Приложению № 1 к настоящему Закону;</w:t>
            </w:r>
          </w:p>
          <w:p w14:paraId="5BE315AA" w14:textId="02EA31E4" w:rsidR="00384E41" w:rsidRPr="00BB7457" w:rsidRDefault="00384E41" w:rsidP="002C163D">
            <w:pPr>
              <w:ind w:firstLine="709"/>
              <w:jc w:val="both"/>
            </w:pPr>
            <w:proofErr w:type="gramStart"/>
            <w:r w:rsidRPr="00BB7457">
              <w:t>б</w:t>
            </w:r>
            <w:proofErr w:type="gramEnd"/>
            <w:r w:rsidRPr="00BB7457">
              <w:t xml:space="preserve">) расходы в сумме </w:t>
            </w:r>
            <w:r w:rsidR="0001604F" w:rsidRPr="00BB7457">
              <w:rPr>
                <w:b/>
              </w:rPr>
              <w:t>5 658 061 646</w:t>
            </w:r>
            <w:r w:rsidRPr="00BB7457">
              <w:t xml:space="preserve"> рублей согласно Приложению № 2 к настоящему Закону;</w:t>
            </w:r>
          </w:p>
          <w:p w14:paraId="5A1381E8" w14:textId="152EED4A" w:rsidR="00384E41" w:rsidRPr="00BB7457" w:rsidRDefault="00384E41" w:rsidP="002C163D">
            <w:pPr>
              <w:ind w:firstLine="709"/>
              <w:contextualSpacing/>
              <w:jc w:val="both"/>
            </w:pPr>
            <w:proofErr w:type="gramStart"/>
            <w:r w:rsidRPr="00BB7457">
              <w:t>в</w:t>
            </w:r>
            <w:proofErr w:type="gramEnd"/>
            <w:r w:rsidRPr="00BB7457">
              <w:t xml:space="preserve">) дефицит в сумме </w:t>
            </w:r>
            <w:r w:rsidR="0001604F" w:rsidRPr="00BB7457">
              <w:rPr>
                <w:b/>
              </w:rPr>
              <w:t>3 422 308 620</w:t>
            </w:r>
            <w:r w:rsidR="00BB7457" w:rsidRPr="00BB7457">
              <w:t xml:space="preserve"> рублей, или</w:t>
            </w:r>
            <w:r w:rsidRPr="00BB7457">
              <w:t xml:space="preserve"> </w:t>
            </w:r>
            <w:r w:rsidR="00BB4CF9" w:rsidRPr="00BB7457">
              <w:t xml:space="preserve">60,49 </w:t>
            </w:r>
            <w:r w:rsidRPr="00BB7457">
              <w:t>процента к расходам</w:t>
            </w:r>
            <w:r w:rsidR="00FB77BB" w:rsidRPr="00BB7457">
              <w:t>.</w:t>
            </w:r>
          </w:p>
          <w:p w14:paraId="38A43A1D" w14:textId="0D78459E" w:rsidR="00834574" w:rsidRPr="00BB7457" w:rsidRDefault="0085315C" w:rsidP="002C163D">
            <w:pPr>
              <w:ind w:firstLine="709"/>
              <w:contextualSpacing/>
              <w:jc w:val="both"/>
            </w:pPr>
            <w:r w:rsidRPr="00BB7457">
              <w:t>2. Источниками покрытия дефицита республиканского бюджета являются:</w:t>
            </w:r>
          </w:p>
          <w:p w14:paraId="74A5654D" w14:textId="7AE0E60B" w:rsidR="0085315C" w:rsidRPr="00BB7457" w:rsidRDefault="0085315C" w:rsidP="002C163D">
            <w:pPr>
              <w:ind w:firstLine="709"/>
              <w:contextualSpacing/>
              <w:jc w:val="both"/>
            </w:pPr>
            <w:r w:rsidRPr="00BB7457">
              <w:t xml:space="preserve">а) кредиты (займы) в размере </w:t>
            </w:r>
            <w:r w:rsidR="0001604F" w:rsidRPr="00BB7457">
              <w:t>2 967 811 693</w:t>
            </w:r>
            <w:r w:rsidRPr="00BB7457">
              <w:t xml:space="preserve"> рубл</w:t>
            </w:r>
            <w:r w:rsidR="0001604F" w:rsidRPr="00BB7457">
              <w:t>ей</w:t>
            </w:r>
            <w:r w:rsidRPr="00BB7457">
              <w:t>, указанные в статье 5 (секретно) настоящего Закона;</w:t>
            </w:r>
          </w:p>
          <w:p w14:paraId="36275626" w14:textId="77777777" w:rsidR="0001604F" w:rsidRPr="00BB7457" w:rsidRDefault="0001604F" w:rsidP="002C163D">
            <w:pPr>
              <w:ind w:firstLine="709"/>
              <w:jc w:val="both"/>
            </w:pPr>
            <w:r w:rsidRPr="00BB7457">
              <w:t>…</w:t>
            </w:r>
          </w:p>
          <w:p w14:paraId="5100F7E6" w14:textId="79BA027E" w:rsidR="00CD33B0" w:rsidRPr="00BB7457" w:rsidRDefault="00CD33B0" w:rsidP="002C163D">
            <w:pPr>
              <w:ind w:firstLine="709"/>
              <w:jc w:val="both"/>
            </w:pPr>
          </w:p>
        </w:tc>
        <w:tc>
          <w:tcPr>
            <w:tcW w:w="2431" w:type="pct"/>
          </w:tcPr>
          <w:p w14:paraId="2D26A4AC" w14:textId="77777777" w:rsidR="00834574" w:rsidRPr="00BB7457" w:rsidRDefault="00834574" w:rsidP="002C163D">
            <w:pPr>
              <w:ind w:firstLine="709"/>
              <w:jc w:val="both"/>
              <w:rPr>
                <w:b/>
                <w:bCs/>
              </w:rPr>
            </w:pPr>
            <w:r w:rsidRPr="00BB7457">
              <w:rPr>
                <w:b/>
                <w:bCs/>
              </w:rPr>
              <w:t>Статья 2.</w:t>
            </w:r>
          </w:p>
          <w:p w14:paraId="1C76A976" w14:textId="77777777" w:rsidR="00DD685E" w:rsidRPr="00BB7457" w:rsidRDefault="00DD685E" w:rsidP="002C163D">
            <w:pPr>
              <w:ind w:firstLine="709"/>
              <w:jc w:val="both"/>
            </w:pPr>
            <w:r w:rsidRPr="00BB7457">
              <w:t>1. Утвердить основные характеристики республиканского бюджета, в том числе:</w:t>
            </w:r>
          </w:p>
          <w:p w14:paraId="2C88C9DD" w14:textId="77777777" w:rsidR="0001604F" w:rsidRPr="00BB7457" w:rsidRDefault="0001604F" w:rsidP="002C163D">
            <w:pPr>
              <w:ind w:firstLine="708"/>
              <w:jc w:val="both"/>
            </w:pPr>
            <w:r w:rsidRPr="00BB7457">
              <w:t>а) доходы в сумме 2 235 753 026 рублей согласно Приложению № 1 к настоящему Закону;</w:t>
            </w:r>
          </w:p>
          <w:p w14:paraId="16B4DF75" w14:textId="77777777" w:rsidR="0001604F" w:rsidRPr="00BB7457" w:rsidRDefault="0001604F" w:rsidP="002C163D">
            <w:pPr>
              <w:ind w:firstLine="708"/>
              <w:jc w:val="both"/>
            </w:pPr>
            <w:r w:rsidRPr="00BB7457">
              <w:t xml:space="preserve">б) расходы в сумме </w:t>
            </w:r>
            <w:r w:rsidRPr="00BB7457">
              <w:rPr>
                <w:b/>
              </w:rPr>
              <w:t>5 679 225 513</w:t>
            </w:r>
            <w:r w:rsidRPr="00BB7457">
              <w:t xml:space="preserve"> рублей согласно Приложению № 2 к настоящему Закону;</w:t>
            </w:r>
          </w:p>
          <w:p w14:paraId="2E53C572" w14:textId="77777777" w:rsidR="0001604F" w:rsidRPr="00BB7457" w:rsidRDefault="0001604F" w:rsidP="002C163D">
            <w:pPr>
              <w:ind w:firstLine="709"/>
              <w:jc w:val="both"/>
            </w:pPr>
            <w:r w:rsidRPr="00BB7457">
              <w:t xml:space="preserve">в) дефицит в сумме </w:t>
            </w:r>
            <w:r w:rsidRPr="00BB7457">
              <w:rPr>
                <w:b/>
              </w:rPr>
              <w:t>3 443 472 487</w:t>
            </w:r>
            <w:r w:rsidRPr="00BB7457">
              <w:t xml:space="preserve"> рублей, или 60,63 процента к расходам</w:t>
            </w:r>
          </w:p>
          <w:p w14:paraId="067E5C8E" w14:textId="6F8076A0" w:rsidR="0085315C" w:rsidRPr="00BB7457" w:rsidRDefault="0085315C" w:rsidP="002C163D">
            <w:pPr>
              <w:ind w:firstLine="709"/>
              <w:jc w:val="both"/>
            </w:pPr>
            <w:r w:rsidRPr="00BB7457">
              <w:t>2. Источниками покрытия дефицита республиканского бюджета являются:</w:t>
            </w:r>
          </w:p>
          <w:p w14:paraId="38B16AF5" w14:textId="1CAFA890" w:rsidR="0085315C" w:rsidRPr="00BB7457" w:rsidRDefault="0085315C" w:rsidP="002C163D">
            <w:pPr>
              <w:ind w:firstLine="709"/>
              <w:jc w:val="both"/>
            </w:pPr>
            <w:r w:rsidRPr="00BB7457">
              <w:t xml:space="preserve">а) кредиты (займы) в размере </w:t>
            </w:r>
            <w:r w:rsidR="0001604F" w:rsidRPr="00BB7457">
              <w:rPr>
                <w:b/>
                <w:bCs/>
              </w:rPr>
              <w:t>2 988 975 560</w:t>
            </w:r>
            <w:r w:rsidR="00A4186B" w:rsidRPr="00BB7457">
              <w:rPr>
                <w:b/>
                <w:bCs/>
              </w:rPr>
              <w:t xml:space="preserve"> </w:t>
            </w:r>
            <w:r w:rsidRPr="00BB7457">
              <w:rPr>
                <w:b/>
                <w:bCs/>
              </w:rPr>
              <w:t>рубл</w:t>
            </w:r>
            <w:r w:rsidR="0001604F" w:rsidRPr="00BB7457">
              <w:rPr>
                <w:b/>
                <w:bCs/>
              </w:rPr>
              <w:t>ей</w:t>
            </w:r>
            <w:r w:rsidRPr="00BB7457">
              <w:rPr>
                <w:b/>
                <w:bCs/>
              </w:rPr>
              <w:t>,</w:t>
            </w:r>
            <w:r w:rsidR="0001604F" w:rsidRPr="00BB7457">
              <w:t xml:space="preserve"> указанные </w:t>
            </w:r>
            <w:r w:rsidRPr="00BB7457">
              <w:t>в статье 5 (секретно) настоящего Закона;</w:t>
            </w:r>
          </w:p>
          <w:p w14:paraId="21DE386A" w14:textId="2B7F0A50" w:rsidR="00384E41" w:rsidRPr="00BB7457" w:rsidRDefault="00384E41" w:rsidP="002C163D">
            <w:pPr>
              <w:ind w:firstLine="709"/>
              <w:jc w:val="both"/>
            </w:pPr>
            <w:r w:rsidRPr="00BB7457">
              <w:t>…</w:t>
            </w:r>
          </w:p>
          <w:p w14:paraId="2D331155" w14:textId="7703D800" w:rsidR="0085315C" w:rsidRPr="00BB7457" w:rsidRDefault="0085315C" w:rsidP="002C163D">
            <w:pPr>
              <w:ind w:firstLine="709"/>
              <w:jc w:val="both"/>
              <w:rPr>
                <w:b/>
              </w:rPr>
            </w:pPr>
          </w:p>
        </w:tc>
      </w:tr>
      <w:tr w:rsidR="0001604F" w:rsidRPr="0085315C" w14:paraId="167DDA1D" w14:textId="77777777" w:rsidTr="00DC5671">
        <w:trPr>
          <w:trHeight w:val="316"/>
        </w:trPr>
        <w:tc>
          <w:tcPr>
            <w:tcW w:w="231" w:type="pct"/>
          </w:tcPr>
          <w:p w14:paraId="684093FD" w14:textId="18CB0014" w:rsidR="00DC5671" w:rsidRPr="0085315C" w:rsidRDefault="0001604F" w:rsidP="002C16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85315C">
              <w:rPr>
                <w:bCs/>
              </w:rPr>
              <w:t>.</w:t>
            </w:r>
          </w:p>
        </w:tc>
        <w:tc>
          <w:tcPr>
            <w:tcW w:w="2338" w:type="pct"/>
          </w:tcPr>
          <w:p w14:paraId="107A3145" w14:textId="2CE996EF" w:rsidR="0001604F" w:rsidRPr="0085315C" w:rsidRDefault="0001604F" w:rsidP="002C163D">
            <w:pPr>
              <w:ind w:firstLine="709"/>
              <w:jc w:val="both"/>
              <w:rPr>
                <w:bCs/>
              </w:rPr>
            </w:pPr>
            <w:r w:rsidRPr="002D5095">
              <w:rPr>
                <w:b/>
              </w:rPr>
              <w:t>Статья 5. (Секретно)</w:t>
            </w:r>
          </w:p>
        </w:tc>
        <w:tc>
          <w:tcPr>
            <w:tcW w:w="2431" w:type="pct"/>
          </w:tcPr>
          <w:p w14:paraId="3AC0EE2C" w14:textId="5579FBD6" w:rsidR="0001604F" w:rsidRPr="0085315C" w:rsidRDefault="0001604F" w:rsidP="002C163D">
            <w:pPr>
              <w:ind w:firstLine="709"/>
              <w:jc w:val="both"/>
              <w:rPr>
                <w:bCs/>
              </w:rPr>
            </w:pPr>
            <w:r w:rsidRPr="002D5095">
              <w:rPr>
                <w:b/>
              </w:rPr>
              <w:t>Статья 5. (Секретно)</w:t>
            </w:r>
          </w:p>
        </w:tc>
      </w:tr>
      <w:tr w:rsidR="008C3B85" w:rsidRPr="0085315C" w14:paraId="3F80D5F1" w14:textId="77777777" w:rsidTr="00DC5671">
        <w:trPr>
          <w:trHeight w:val="316"/>
        </w:trPr>
        <w:tc>
          <w:tcPr>
            <w:tcW w:w="231" w:type="pct"/>
          </w:tcPr>
          <w:p w14:paraId="2CC238A6" w14:textId="49EC5536" w:rsidR="008C3B85" w:rsidRDefault="008C3B85" w:rsidP="002C16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2338" w:type="pct"/>
          </w:tcPr>
          <w:p w14:paraId="1EF9EBBB" w14:textId="6A47AAD8" w:rsidR="008C3B85" w:rsidRDefault="008C3B85" w:rsidP="008C3B85">
            <w:pPr>
              <w:ind w:firstLine="426"/>
              <w:jc w:val="both"/>
              <w:rPr>
                <w:b/>
              </w:rPr>
            </w:pPr>
            <w:r w:rsidRPr="00DD0CF2">
              <w:rPr>
                <w:b/>
              </w:rPr>
              <w:t>Статья 1</w:t>
            </w:r>
            <w:r>
              <w:rPr>
                <w:b/>
              </w:rPr>
              <w:t>6</w:t>
            </w:r>
            <w:r w:rsidRPr="00DD0CF2">
              <w:rPr>
                <w:b/>
              </w:rPr>
              <w:t>.</w:t>
            </w:r>
          </w:p>
          <w:p w14:paraId="5A72089E" w14:textId="1C3C0A63" w:rsidR="008C3B85" w:rsidRDefault="0095174F" w:rsidP="008C3B85">
            <w:pPr>
              <w:ind w:firstLine="426"/>
              <w:jc w:val="both"/>
              <w:rPr>
                <w:b/>
              </w:rPr>
            </w:pPr>
            <w:r>
              <w:rPr>
                <w:b/>
              </w:rPr>
              <w:t>…</w:t>
            </w:r>
          </w:p>
          <w:p w14:paraId="5A0BA783" w14:textId="77777777" w:rsidR="00BB7457" w:rsidRDefault="00BB7457" w:rsidP="008C3B85">
            <w:pPr>
              <w:ind w:firstLine="426"/>
              <w:jc w:val="both"/>
              <w:rPr>
                <w:b/>
              </w:rPr>
            </w:pPr>
          </w:p>
          <w:p w14:paraId="74D53122" w14:textId="6E50607C" w:rsidR="008C3B85" w:rsidRPr="00AD5202" w:rsidRDefault="008C3B85" w:rsidP="008C3B85">
            <w:pPr>
              <w:ind w:firstLine="426"/>
              <w:jc w:val="both"/>
              <w:rPr>
                <w:b/>
              </w:rPr>
            </w:pPr>
            <w:r w:rsidRPr="009A7201">
              <w:rPr>
                <w:b/>
              </w:rPr>
              <w:lastRenderedPageBreak/>
              <w:t>6.</w:t>
            </w:r>
            <w:r w:rsidRPr="009A7201">
              <w:t xml:space="preserve"> </w:t>
            </w:r>
            <w:r w:rsidR="0095174F" w:rsidRPr="009A7201">
              <w:rPr>
                <w:b/>
                <w:color w:val="000000"/>
              </w:rPr>
              <w:t>О</w:t>
            </w:r>
            <w:r w:rsidRPr="009A7201">
              <w:rPr>
                <w:b/>
                <w:color w:val="000000"/>
              </w:rPr>
              <w:t>тсутствует</w:t>
            </w:r>
            <w:r w:rsidRPr="00AD5202">
              <w:rPr>
                <w:b/>
                <w:color w:val="000000"/>
              </w:rPr>
              <w:t>.</w:t>
            </w:r>
          </w:p>
          <w:p w14:paraId="320412D2" w14:textId="77777777" w:rsidR="008C3B85" w:rsidRPr="002D5095" w:rsidRDefault="008C3B85" w:rsidP="002C163D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431" w:type="pct"/>
          </w:tcPr>
          <w:p w14:paraId="3BBA7C9E" w14:textId="13EF4CBC" w:rsidR="00C04954" w:rsidRDefault="00C04954" w:rsidP="00C04954">
            <w:pPr>
              <w:ind w:firstLine="492"/>
              <w:jc w:val="both"/>
            </w:pPr>
            <w:r w:rsidRPr="00DD0CF2">
              <w:rPr>
                <w:b/>
              </w:rPr>
              <w:lastRenderedPageBreak/>
              <w:t>Статья 1</w:t>
            </w:r>
            <w:r>
              <w:rPr>
                <w:b/>
              </w:rPr>
              <w:t>6</w:t>
            </w:r>
            <w:r w:rsidRPr="00DD0CF2">
              <w:rPr>
                <w:b/>
              </w:rPr>
              <w:t>.</w:t>
            </w:r>
            <w:r w:rsidRPr="00DD0CF2">
              <w:t xml:space="preserve"> </w:t>
            </w:r>
          </w:p>
          <w:p w14:paraId="2489B7C3" w14:textId="6C2ED72E" w:rsidR="00C04954" w:rsidRDefault="0095174F" w:rsidP="0095174F">
            <w:pPr>
              <w:ind w:firstLine="492"/>
              <w:jc w:val="both"/>
            </w:pPr>
            <w:r>
              <w:t>…</w:t>
            </w:r>
          </w:p>
          <w:p w14:paraId="6152C5F3" w14:textId="2FA8748B" w:rsidR="008C3B85" w:rsidRPr="00AD5202" w:rsidRDefault="00C04954" w:rsidP="00AD5202">
            <w:pPr>
              <w:ind w:firstLine="465"/>
              <w:jc w:val="both"/>
              <w:rPr>
                <w:b/>
              </w:rPr>
            </w:pPr>
            <w:r w:rsidRPr="00AD5202">
              <w:rPr>
                <w:b/>
              </w:rPr>
              <w:lastRenderedPageBreak/>
              <w:t>6. Во изменение норм части второй пункта 10 статьи 61 Закона Приднестровской Молдавской Республики «О закупках в Приднестровской Молдавской Республике» предоставить право государственным (муниципальным) и коммерческим заказчикам изменять существенные условия контрактов на выполнение работ по строительству, реконструкции, капитальному, текущему ремонту при их исполнении по соглашению сторон в пределах цены заключенного контракта по объектам (мероприятиям), определенным Приложением № 7-1 к настоящему Закону</w:t>
            </w:r>
            <w:r w:rsidR="008F1718">
              <w:rPr>
                <w:b/>
              </w:rPr>
              <w:t>.</w:t>
            </w:r>
          </w:p>
        </w:tc>
      </w:tr>
      <w:tr w:rsidR="00986801" w:rsidRPr="0085315C" w14:paraId="0EBAE005" w14:textId="77777777" w:rsidTr="0095174F">
        <w:trPr>
          <w:trHeight w:val="699"/>
        </w:trPr>
        <w:tc>
          <w:tcPr>
            <w:tcW w:w="231" w:type="pct"/>
          </w:tcPr>
          <w:p w14:paraId="564B32A2" w14:textId="0E465F46" w:rsidR="00986801" w:rsidRPr="0085315C" w:rsidRDefault="008C3B85" w:rsidP="002C163D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="00986801" w:rsidRPr="0085315C">
              <w:t>.</w:t>
            </w:r>
          </w:p>
        </w:tc>
        <w:tc>
          <w:tcPr>
            <w:tcW w:w="2338" w:type="pct"/>
          </w:tcPr>
          <w:p w14:paraId="3EDA19D9" w14:textId="074CDA5F" w:rsidR="00986801" w:rsidRDefault="00986801" w:rsidP="002C163D">
            <w:pPr>
              <w:ind w:firstLine="709"/>
              <w:jc w:val="both"/>
            </w:pPr>
            <w:r>
              <w:rPr>
                <w:b/>
              </w:rPr>
              <w:t>Статья 18</w:t>
            </w:r>
            <w:r w:rsidRPr="002D5095">
              <w:rPr>
                <w:b/>
              </w:rPr>
              <w:t>.</w:t>
            </w:r>
          </w:p>
          <w:p w14:paraId="754540CB" w14:textId="588D4698" w:rsidR="00986801" w:rsidRPr="00986801" w:rsidRDefault="00986801" w:rsidP="002C163D">
            <w:pPr>
              <w:ind w:firstLine="709"/>
              <w:jc w:val="both"/>
            </w:pPr>
            <w:r w:rsidRPr="00986801">
              <w:t>1. Утвердить основные характеристики Дорожного фонда Приднестровской Молдавской Республики согласно Приложению № 8 к настоящему Закону, в том числе:</w:t>
            </w:r>
          </w:p>
          <w:p w14:paraId="7CD3AE1E" w14:textId="77777777" w:rsidR="00986801" w:rsidRPr="00986801" w:rsidRDefault="00986801" w:rsidP="002C163D">
            <w:pPr>
              <w:shd w:val="clear" w:color="auto" w:fill="FFFFFF"/>
              <w:ind w:firstLine="709"/>
              <w:jc w:val="both"/>
            </w:pPr>
            <w:r w:rsidRPr="00986801">
              <w:t>а) остатки средств по состоянию на 1 января 2024 года в сумме 10 381 878 рублей, в том числе остатки средств, сложившиеся по состоянию на 1 января 2024 года на счетах местных бюджетов, в сумме 7 696 271 рубль;</w:t>
            </w:r>
          </w:p>
          <w:p w14:paraId="5FCBB732" w14:textId="77777777" w:rsidR="00986801" w:rsidRPr="00986801" w:rsidRDefault="00986801" w:rsidP="002C163D">
            <w:pPr>
              <w:ind w:firstLine="709"/>
              <w:jc w:val="both"/>
              <w:outlineLvl w:val="1"/>
            </w:pPr>
            <w:r w:rsidRPr="00986801">
              <w:t>б) средства Дорожного фонда, возвращенные в 2024 году на счет местного бюджета как не использованные в рамках договоров, заключенных в 2023 году, в сумме 263 рубля;</w:t>
            </w:r>
          </w:p>
          <w:p w14:paraId="253FF493" w14:textId="77777777" w:rsidR="00986801" w:rsidRPr="00986801" w:rsidRDefault="00986801" w:rsidP="002C163D">
            <w:pPr>
              <w:ind w:firstLine="709"/>
              <w:jc w:val="both"/>
              <w:outlineLvl w:val="1"/>
            </w:pPr>
            <w:r w:rsidRPr="00986801">
              <w:t>в) доходы в сумме 295 254 576 рублей;</w:t>
            </w:r>
          </w:p>
          <w:p w14:paraId="21966519" w14:textId="6B290EB6" w:rsidR="00986801" w:rsidRDefault="00986801" w:rsidP="002C163D">
            <w:pPr>
              <w:shd w:val="clear" w:color="auto" w:fill="FFFFFF"/>
              <w:ind w:firstLine="709"/>
              <w:jc w:val="both"/>
            </w:pPr>
            <w:r w:rsidRPr="00986801">
              <w:t>г) расходы в сумме 269 636 717 рублей.</w:t>
            </w:r>
          </w:p>
          <w:p w14:paraId="21265AAC" w14:textId="568FCD46" w:rsidR="00986801" w:rsidRPr="00986801" w:rsidRDefault="00986801" w:rsidP="002C163D">
            <w:pPr>
              <w:shd w:val="clear" w:color="auto" w:fill="FFFFFF"/>
              <w:ind w:firstLine="709"/>
              <w:jc w:val="both"/>
            </w:pPr>
            <w:r>
              <w:t>…</w:t>
            </w:r>
          </w:p>
          <w:p w14:paraId="28A47D76" w14:textId="0BF9D4A3" w:rsidR="00986801" w:rsidRDefault="00986801" w:rsidP="002C163D">
            <w:pPr>
              <w:shd w:val="clear" w:color="auto" w:fill="FFFFFF"/>
              <w:ind w:firstLine="709"/>
              <w:jc w:val="both"/>
            </w:pPr>
            <w:r w:rsidRPr="00986801">
              <w:t xml:space="preserve">2. </w:t>
            </w:r>
            <w:bookmarkStart w:id="0" w:name="_Hlk158391167"/>
            <w:r w:rsidRPr="00986801">
              <w:t>Денежные средства Дорожного фонда Приднестровской Молдавской Республики в сумме 227 615 751 рубль направляются в местные бюджеты городов (районов) в виде субсидий из республиканского бюджета в размерах, утвержденных Приложением № 8 к настоящему Закону.</w:t>
            </w:r>
          </w:p>
          <w:p w14:paraId="0A5F284A" w14:textId="1B73A0B5" w:rsidR="00986801" w:rsidRPr="00986801" w:rsidRDefault="00986801" w:rsidP="002C163D">
            <w:pPr>
              <w:shd w:val="clear" w:color="auto" w:fill="FFFFFF"/>
              <w:ind w:firstLine="709"/>
              <w:jc w:val="both"/>
            </w:pPr>
            <w:r>
              <w:t>…</w:t>
            </w:r>
          </w:p>
          <w:bookmarkEnd w:id="0"/>
          <w:p w14:paraId="63FA8EA7" w14:textId="3AC1AED1" w:rsidR="00986801" w:rsidRPr="009A7201" w:rsidRDefault="00986801" w:rsidP="002C163D">
            <w:pPr>
              <w:ind w:firstLine="709"/>
              <w:jc w:val="both"/>
            </w:pPr>
            <w:r w:rsidRPr="00986801">
              <w:t>5. В 2024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«</w:t>
            </w:r>
            <w:proofErr w:type="spellStart"/>
            <w:r w:rsidRPr="00986801">
              <w:t>Дубоссарская</w:t>
            </w:r>
            <w:proofErr w:type="spellEnd"/>
            <w:r w:rsidRPr="00986801">
              <w:t xml:space="preserve"> ГЭС» в сумме 6 540 732 рубля, сформированной в </w:t>
            </w:r>
            <w:r w:rsidRPr="00986801">
              <w:lastRenderedPageBreak/>
              <w:t xml:space="preserve">2015 году во исполнение правового акта Правительства Приднестровской Молдавской Республики в части приведения </w:t>
            </w:r>
            <w:r w:rsidRPr="009A7201">
              <w:t xml:space="preserve">инфраструктуры дорожной отрасли в надлежащее состояние. </w:t>
            </w:r>
          </w:p>
          <w:p w14:paraId="2DA41732" w14:textId="269ADB6B" w:rsidR="00986801" w:rsidRPr="009A7201" w:rsidRDefault="0095174F" w:rsidP="002C163D">
            <w:pPr>
              <w:ind w:firstLine="709"/>
              <w:jc w:val="both"/>
              <w:rPr>
                <w:b/>
              </w:rPr>
            </w:pPr>
            <w:r w:rsidRPr="009A7201">
              <w:rPr>
                <w:b/>
              </w:rPr>
              <w:t xml:space="preserve">5-1. </w:t>
            </w:r>
            <w:r w:rsidR="00986801" w:rsidRPr="009A7201">
              <w:rPr>
                <w:b/>
              </w:rPr>
              <w:t>Отсутствует</w:t>
            </w:r>
            <w:r w:rsidRPr="009A7201">
              <w:rPr>
                <w:b/>
              </w:rPr>
              <w:t>.</w:t>
            </w:r>
          </w:p>
          <w:p w14:paraId="5A0F340F" w14:textId="110C8EFB" w:rsidR="00986801" w:rsidRPr="009A7201" w:rsidRDefault="00986801" w:rsidP="002C163D">
            <w:pPr>
              <w:ind w:firstLine="709"/>
              <w:jc w:val="both"/>
            </w:pPr>
          </w:p>
          <w:p w14:paraId="29D5EA08" w14:textId="6B943714" w:rsidR="00986801" w:rsidRPr="009A7201" w:rsidRDefault="00986801" w:rsidP="002C163D">
            <w:pPr>
              <w:ind w:firstLine="709"/>
              <w:jc w:val="both"/>
            </w:pPr>
          </w:p>
          <w:p w14:paraId="3011DCDF" w14:textId="63DE6AEC" w:rsidR="00986801" w:rsidRPr="009A7201" w:rsidRDefault="00986801" w:rsidP="002C163D">
            <w:pPr>
              <w:ind w:firstLine="709"/>
              <w:jc w:val="both"/>
            </w:pPr>
          </w:p>
          <w:p w14:paraId="66B8C230" w14:textId="154DA7A6" w:rsidR="00986801" w:rsidRPr="009A7201" w:rsidRDefault="00986801" w:rsidP="002C163D">
            <w:pPr>
              <w:ind w:firstLine="709"/>
              <w:jc w:val="both"/>
            </w:pPr>
          </w:p>
          <w:p w14:paraId="5F253E67" w14:textId="411476AE" w:rsidR="00986801" w:rsidRPr="009A7201" w:rsidRDefault="00986801" w:rsidP="002C163D">
            <w:pPr>
              <w:ind w:firstLine="709"/>
              <w:jc w:val="both"/>
            </w:pPr>
          </w:p>
          <w:p w14:paraId="4919D085" w14:textId="6558E316" w:rsidR="00986801" w:rsidRPr="009A7201" w:rsidRDefault="00986801" w:rsidP="002C163D">
            <w:pPr>
              <w:ind w:firstLine="709"/>
              <w:jc w:val="both"/>
            </w:pPr>
          </w:p>
          <w:p w14:paraId="1E0CB26A" w14:textId="2A5FBDD3" w:rsidR="00986801" w:rsidRPr="009A7201" w:rsidRDefault="00986801" w:rsidP="002C163D">
            <w:pPr>
              <w:ind w:firstLine="709"/>
              <w:jc w:val="both"/>
            </w:pPr>
          </w:p>
          <w:p w14:paraId="36020DC9" w14:textId="77777777" w:rsidR="0095174F" w:rsidRPr="009A7201" w:rsidRDefault="0095174F" w:rsidP="002C163D">
            <w:pPr>
              <w:ind w:firstLine="709"/>
              <w:jc w:val="both"/>
            </w:pPr>
          </w:p>
          <w:p w14:paraId="1A414636" w14:textId="2665CC6A" w:rsidR="00986801" w:rsidRPr="0095174F" w:rsidRDefault="0095174F" w:rsidP="002C163D">
            <w:pPr>
              <w:ind w:firstLine="709"/>
              <w:jc w:val="both"/>
              <w:rPr>
                <w:b/>
              </w:rPr>
            </w:pPr>
            <w:r w:rsidRPr="009A7201">
              <w:rPr>
                <w:b/>
              </w:rPr>
              <w:t xml:space="preserve">5-2. </w:t>
            </w:r>
            <w:r w:rsidR="00986801" w:rsidRPr="009A7201">
              <w:rPr>
                <w:b/>
              </w:rPr>
              <w:t>Отсутствует</w:t>
            </w:r>
            <w:r w:rsidRPr="009A7201">
              <w:rPr>
                <w:b/>
              </w:rPr>
              <w:t>.</w:t>
            </w:r>
          </w:p>
          <w:p w14:paraId="029EE97A" w14:textId="77777777" w:rsidR="00E150DD" w:rsidRDefault="00E150DD" w:rsidP="002C163D">
            <w:pPr>
              <w:ind w:firstLine="709"/>
              <w:jc w:val="both"/>
            </w:pPr>
          </w:p>
          <w:p w14:paraId="34F380D3" w14:textId="77777777" w:rsidR="00E150DD" w:rsidRDefault="00E150DD" w:rsidP="002C163D">
            <w:pPr>
              <w:ind w:firstLine="709"/>
              <w:jc w:val="both"/>
            </w:pPr>
          </w:p>
          <w:p w14:paraId="020485E2" w14:textId="2577F12A" w:rsidR="00E150DD" w:rsidRDefault="00E150DD" w:rsidP="002C163D">
            <w:pPr>
              <w:ind w:firstLine="709"/>
              <w:jc w:val="both"/>
            </w:pPr>
          </w:p>
          <w:p w14:paraId="6246E679" w14:textId="3CAA9C57" w:rsidR="00E150DD" w:rsidRDefault="00E150DD" w:rsidP="0095174F">
            <w:pPr>
              <w:jc w:val="both"/>
            </w:pPr>
          </w:p>
          <w:p w14:paraId="088600D5" w14:textId="70E7C943" w:rsidR="00E150DD" w:rsidRDefault="00E150DD" w:rsidP="002C163D">
            <w:pPr>
              <w:ind w:firstLine="709"/>
              <w:jc w:val="both"/>
            </w:pPr>
            <w:r>
              <w:t>…</w:t>
            </w:r>
          </w:p>
          <w:p w14:paraId="1DE24885" w14:textId="16371167" w:rsidR="00E150DD" w:rsidRPr="00986801" w:rsidRDefault="00E150DD" w:rsidP="002C163D">
            <w:pPr>
              <w:ind w:firstLine="709"/>
              <w:jc w:val="both"/>
            </w:pPr>
            <w:r>
              <w:t xml:space="preserve"> </w:t>
            </w:r>
            <w:r w:rsidRPr="00E150DD">
              <w:t>10. Средства Дорожного фонда Приднестровской Молдавской Республики, возвращенные в 2024 году на счет местного бюджета как не использованные в рамках договоров, заключенных в 2023 году, в сумме</w:t>
            </w:r>
            <w:r w:rsidR="002C163D">
              <w:t xml:space="preserve"> </w:t>
            </w:r>
            <w:r w:rsidRPr="00E150DD">
              <w:t>263 рубля направляются на выполнение работ согласно Приложению № 8 к настоящему Закону в местный бюджет города Бендеры.</w:t>
            </w:r>
          </w:p>
        </w:tc>
        <w:tc>
          <w:tcPr>
            <w:tcW w:w="2431" w:type="pct"/>
          </w:tcPr>
          <w:p w14:paraId="54C130BF" w14:textId="6B090D1C" w:rsidR="00986801" w:rsidRDefault="00986801" w:rsidP="002C163D">
            <w:pPr>
              <w:ind w:firstLine="709"/>
              <w:jc w:val="both"/>
            </w:pPr>
            <w:r>
              <w:rPr>
                <w:b/>
              </w:rPr>
              <w:lastRenderedPageBreak/>
              <w:t>Статья 18</w:t>
            </w:r>
            <w:r w:rsidRPr="002D5095">
              <w:rPr>
                <w:b/>
              </w:rPr>
              <w:t>.</w:t>
            </w:r>
          </w:p>
          <w:p w14:paraId="7A15DB84" w14:textId="77777777" w:rsidR="00986801" w:rsidRPr="00B34C0E" w:rsidRDefault="00986801" w:rsidP="002C163D">
            <w:pPr>
              <w:ind w:firstLine="709"/>
              <w:jc w:val="both"/>
            </w:pPr>
            <w:r w:rsidRPr="00B34C0E">
              <w:t>1. Утвердить основные характеристики Дорожного фонда Приднестровской Молдавской Республики согласно Приложению № 8 к настоящему Закону, в том числе:</w:t>
            </w:r>
          </w:p>
          <w:p w14:paraId="339352A9" w14:textId="77777777" w:rsidR="00986801" w:rsidRPr="00B34C0E" w:rsidRDefault="00986801" w:rsidP="002C163D">
            <w:pPr>
              <w:shd w:val="clear" w:color="auto" w:fill="FFFFFF"/>
              <w:ind w:firstLine="709"/>
              <w:jc w:val="both"/>
            </w:pPr>
            <w:r w:rsidRPr="00B34C0E">
              <w:t>а) остатки средств по состоянию на 1 января 2024 года в сумме 10 381 878 рублей, в том числе остатки средств, сложившиеся по состоянию на 1 января 2024 года на счетах местных бюджетов, в сумме 7 696 271 рубль;</w:t>
            </w:r>
          </w:p>
          <w:p w14:paraId="35D6F30A" w14:textId="77777777" w:rsidR="00986801" w:rsidRPr="00B34C0E" w:rsidRDefault="00986801" w:rsidP="002C163D">
            <w:pPr>
              <w:ind w:firstLine="709"/>
              <w:jc w:val="both"/>
              <w:outlineLvl w:val="1"/>
            </w:pPr>
            <w:r w:rsidRPr="00B34C0E">
              <w:t>б) средства Дорожного фонда, возвращенные в 2024 году на счет местного бюджета как не использованные в рамках договоров, заключенных в 2023 году</w:t>
            </w:r>
            <w:r>
              <w:t xml:space="preserve">, в сумме </w:t>
            </w:r>
            <w:r w:rsidRPr="00986801">
              <w:rPr>
                <w:b/>
              </w:rPr>
              <w:t>24 607</w:t>
            </w:r>
            <w:r w:rsidRPr="00B34C0E">
              <w:t xml:space="preserve"> рубл</w:t>
            </w:r>
            <w:r>
              <w:t>ей</w:t>
            </w:r>
            <w:r w:rsidRPr="00B34C0E">
              <w:t>;</w:t>
            </w:r>
          </w:p>
          <w:p w14:paraId="123691B7" w14:textId="77777777" w:rsidR="00986801" w:rsidRPr="00B34C0E" w:rsidRDefault="00986801" w:rsidP="002C163D">
            <w:pPr>
              <w:ind w:firstLine="709"/>
              <w:jc w:val="both"/>
              <w:outlineLvl w:val="1"/>
            </w:pPr>
            <w:r w:rsidRPr="00B34C0E">
              <w:t>в) доходы в сумме 295 254 576 рублей;</w:t>
            </w:r>
          </w:p>
          <w:p w14:paraId="5C3364B2" w14:textId="4F99562F" w:rsidR="00986801" w:rsidRDefault="00986801" w:rsidP="002C163D">
            <w:pPr>
              <w:ind w:firstLine="709"/>
              <w:jc w:val="both"/>
            </w:pPr>
            <w:bookmarkStart w:id="1" w:name="_Hlk96250626"/>
            <w:r w:rsidRPr="00B34C0E">
              <w:t xml:space="preserve">г) расходы в сумме </w:t>
            </w:r>
            <w:r w:rsidRPr="00986801">
              <w:rPr>
                <w:b/>
              </w:rPr>
              <w:t>269 661 061</w:t>
            </w:r>
            <w:r w:rsidRPr="00B34C0E">
              <w:t xml:space="preserve"> рубл</w:t>
            </w:r>
            <w:bookmarkEnd w:id="1"/>
            <w:r>
              <w:t>ь.</w:t>
            </w:r>
          </w:p>
          <w:p w14:paraId="488C17AC" w14:textId="5B916F5E" w:rsidR="00986801" w:rsidRDefault="00986801" w:rsidP="002C163D">
            <w:pPr>
              <w:ind w:firstLine="709"/>
              <w:jc w:val="both"/>
            </w:pPr>
            <w:r>
              <w:t>…</w:t>
            </w:r>
          </w:p>
          <w:p w14:paraId="73658A07" w14:textId="3982A0CD" w:rsidR="00986801" w:rsidRDefault="00986801" w:rsidP="002C163D">
            <w:pPr>
              <w:shd w:val="clear" w:color="auto" w:fill="FFFFFF"/>
              <w:ind w:firstLine="709"/>
              <w:jc w:val="both"/>
            </w:pPr>
            <w:r w:rsidRPr="00986801">
              <w:t xml:space="preserve">2. Денежные средства Дорожного фонда Приднестровской Молдавской Республики в сумме </w:t>
            </w:r>
            <w:r w:rsidR="009C0AEC">
              <w:rPr>
                <w:b/>
              </w:rPr>
              <w:t>229 123 752</w:t>
            </w:r>
            <w:r w:rsidR="00E150DD">
              <w:rPr>
                <w:b/>
              </w:rPr>
              <w:t xml:space="preserve"> </w:t>
            </w:r>
            <w:r w:rsidRPr="00986801">
              <w:rPr>
                <w:b/>
              </w:rPr>
              <w:t>рубля</w:t>
            </w:r>
            <w:r w:rsidRPr="00986801">
              <w:t xml:space="preserve"> направляются в местные бюджеты городов (районов) в виде субсидий из республиканского бюджета в размерах, утвержденных Приложением № 8 к настоящему Закону.</w:t>
            </w:r>
          </w:p>
          <w:p w14:paraId="1F5749FD" w14:textId="1C1328C5" w:rsidR="00986801" w:rsidRPr="00986801" w:rsidRDefault="00986801" w:rsidP="002C163D">
            <w:pPr>
              <w:shd w:val="clear" w:color="auto" w:fill="FFFFFF"/>
              <w:ind w:firstLine="709"/>
              <w:jc w:val="both"/>
            </w:pPr>
            <w:r>
              <w:t>…</w:t>
            </w:r>
          </w:p>
          <w:p w14:paraId="1CF6673E" w14:textId="77777777" w:rsidR="00986801" w:rsidRPr="00986801" w:rsidRDefault="00986801" w:rsidP="002C163D">
            <w:pPr>
              <w:ind w:firstLine="709"/>
              <w:jc w:val="both"/>
            </w:pPr>
            <w:r w:rsidRPr="00986801">
              <w:t>5. В 2024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«</w:t>
            </w:r>
            <w:proofErr w:type="spellStart"/>
            <w:r w:rsidRPr="00986801">
              <w:t>Дубоссарская</w:t>
            </w:r>
            <w:proofErr w:type="spellEnd"/>
            <w:r w:rsidRPr="00986801">
              <w:t xml:space="preserve"> ГЭС» в сумме 6 540 732 рубля, сформированной в 2015 году во исполнение </w:t>
            </w:r>
            <w:r w:rsidRPr="00986801">
              <w:lastRenderedPageBreak/>
              <w:t xml:space="preserve">правового акта Правительства Приднестровской Молдавской Республики в части приведения инфраструктуры дорожной отрасли в надлежащее состояние. </w:t>
            </w:r>
          </w:p>
          <w:p w14:paraId="49197F58" w14:textId="45995A39" w:rsidR="00986801" w:rsidRPr="00511243" w:rsidRDefault="00986801" w:rsidP="002C163D">
            <w:pPr>
              <w:pStyle w:val="a5"/>
              <w:spacing w:line="240" w:lineRule="auto"/>
              <w:ind w:left="0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5-1. Средства Дорожного фонда Приднестровской Молдавской Республики в сумме 800 000 рублей направляются на финансирование предпроектного обследования автомобильных мостов в городе Тирасполь (мост по улице Шевченко, мост через реку Днестр) и путепровода на а/д Брест-Кишинёв-Одесса, км 934 (мост через ж/д Тирасполь –</w:t>
            </w:r>
            <w:proofErr w:type="spellStart"/>
            <w:r w:rsidRPr="0051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Новосавицкая</w:t>
            </w:r>
            <w:proofErr w:type="spellEnd"/>
            <w:r w:rsidRPr="0051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согласно Приложению № 8 к настоящему Закону». </w:t>
            </w:r>
          </w:p>
          <w:p w14:paraId="4996AC38" w14:textId="0C262A54" w:rsidR="00986801" w:rsidRDefault="00986801" w:rsidP="002C163D">
            <w:pPr>
              <w:pStyle w:val="a5"/>
              <w:tabs>
                <w:tab w:val="left" w:pos="1276"/>
                <w:tab w:val="left" w:pos="1418"/>
              </w:tabs>
              <w:spacing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51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5-2. Средства Дорожного фонда Приднестровской Молдавской Республики в сумме 6 130 000 рублей направляются на приобретение дорожной лаборатории </w:t>
            </w:r>
            <w:r w:rsidR="008B4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51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Трасса</w:t>
            </w:r>
            <w:r w:rsidR="008B4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5112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согласно Приложению № 8 к настоящему Закону.</w:t>
            </w:r>
            <w:r w:rsidRPr="00986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69B20BD" w14:textId="77777777" w:rsidR="00E150DD" w:rsidRDefault="00E150DD" w:rsidP="002C163D">
            <w:pPr>
              <w:pStyle w:val="a5"/>
              <w:tabs>
                <w:tab w:val="left" w:pos="1276"/>
                <w:tab w:val="left" w:pos="1418"/>
              </w:tabs>
              <w:spacing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14:paraId="0D04DDBA" w14:textId="4FF3A03E" w:rsidR="00E150DD" w:rsidRPr="00986801" w:rsidRDefault="00E150DD" w:rsidP="002C163D">
            <w:pPr>
              <w:pStyle w:val="a5"/>
              <w:tabs>
                <w:tab w:val="left" w:pos="1276"/>
                <w:tab w:val="left" w:pos="1418"/>
              </w:tabs>
              <w:spacing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Средства Дорожного фонда Приднестровской Молдавской Республики, возвращенные в 2024 году на счет местного бюджета как не использованные в рамках договоров, заключенных в 2023 году, в сумме</w:t>
            </w:r>
            <w:r w:rsidR="002C1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5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2C16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15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607</w:t>
            </w:r>
            <w:r w:rsidR="002C16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5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рублей</w:t>
            </w:r>
            <w:r w:rsidRPr="00E15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направляются на выполнение работ согласно Приложению № 8 к настоящему Закону в местный бюджет города Бендеры.</w:t>
            </w:r>
          </w:p>
        </w:tc>
      </w:tr>
      <w:tr w:rsidR="0001604F" w:rsidRPr="0085315C" w14:paraId="26933CC1" w14:textId="77777777" w:rsidTr="0001604F">
        <w:trPr>
          <w:trHeight w:val="486"/>
        </w:trPr>
        <w:tc>
          <w:tcPr>
            <w:tcW w:w="231" w:type="pct"/>
          </w:tcPr>
          <w:p w14:paraId="154B4D12" w14:textId="67E2A397" w:rsidR="0001604F" w:rsidRPr="0085315C" w:rsidRDefault="008C3B85" w:rsidP="002C163D">
            <w:pPr>
              <w:jc w:val="center"/>
              <w:rPr>
                <w:bCs/>
              </w:rPr>
            </w:pPr>
            <w:r>
              <w:lastRenderedPageBreak/>
              <w:t>6</w:t>
            </w:r>
            <w:r w:rsidR="0001604F" w:rsidRPr="0085315C">
              <w:t>.</w:t>
            </w:r>
          </w:p>
        </w:tc>
        <w:tc>
          <w:tcPr>
            <w:tcW w:w="2338" w:type="pct"/>
          </w:tcPr>
          <w:p w14:paraId="190BB81C" w14:textId="77777777" w:rsidR="0001604F" w:rsidRPr="00E71CE0" w:rsidRDefault="0001604F" w:rsidP="002C163D">
            <w:pPr>
              <w:ind w:firstLine="709"/>
              <w:jc w:val="both"/>
              <w:rPr>
                <w:b/>
              </w:rPr>
            </w:pPr>
            <w:r w:rsidRPr="00E71CE0">
              <w:rPr>
                <w:b/>
              </w:rPr>
              <w:t>Статья 19.</w:t>
            </w:r>
          </w:p>
          <w:p w14:paraId="71A2BFAB" w14:textId="77777777" w:rsidR="0001604F" w:rsidRPr="00E71CE0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E71CE0">
              <w:rPr>
                <w:color w:val="000000"/>
                <w:shd w:val="clear" w:color="auto" w:fill="FFFFFF"/>
              </w:rPr>
              <w:t>1. Утвердить основные характеристики Фонда капитальных вложений Приднестровской Молдавской Республики, а также источники формирования и направления расходования средств согласно Приложению № 2.2 к настоящему Закону, в том числе:</w:t>
            </w:r>
          </w:p>
          <w:p w14:paraId="0B9FF77D" w14:textId="3875B0E9" w:rsidR="0001604F" w:rsidRPr="00E71CE0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E71CE0">
              <w:rPr>
                <w:color w:val="000000"/>
                <w:shd w:val="clear" w:color="auto" w:fill="FFFFFF"/>
              </w:rPr>
              <w:t>а) остатки средств по состоянию</w:t>
            </w:r>
            <w:r>
              <w:rPr>
                <w:color w:val="000000"/>
                <w:shd w:val="clear" w:color="auto" w:fill="FFFFFF"/>
              </w:rPr>
              <w:t xml:space="preserve"> на 1 января 2024 года в сумме </w:t>
            </w:r>
            <w:r w:rsidRPr="00E71CE0">
              <w:rPr>
                <w:color w:val="000000"/>
                <w:shd w:val="clear" w:color="auto" w:fill="FFFFFF"/>
              </w:rPr>
              <w:t xml:space="preserve">12 134 425 рублей; </w:t>
            </w:r>
          </w:p>
          <w:p w14:paraId="12E62D56" w14:textId="0CD8D29A" w:rsidR="0001604F" w:rsidRPr="00E71CE0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E71CE0">
              <w:rPr>
                <w:color w:val="000000"/>
                <w:shd w:val="clear" w:color="auto" w:fill="FFFFFF"/>
              </w:rPr>
              <w:t xml:space="preserve">б) доходы в сумме </w:t>
            </w:r>
            <w:r>
              <w:rPr>
                <w:color w:val="000000"/>
                <w:shd w:val="clear" w:color="auto" w:fill="FFFFFF"/>
              </w:rPr>
              <w:t>276 231 091</w:t>
            </w:r>
            <w:r w:rsidRPr="00E71CE0">
              <w:rPr>
                <w:color w:val="000000"/>
                <w:shd w:val="clear" w:color="auto" w:fill="FFFFFF"/>
              </w:rPr>
              <w:t xml:space="preserve"> рубль;</w:t>
            </w:r>
          </w:p>
          <w:p w14:paraId="2365F531" w14:textId="4650D30B" w:rsidR="0001604F" w:rsidRPr="00E71CE0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E71CE0">
              <w:rPr>
                <w:color w:val="000000"/>
                <w:shd w:val="clear" w:color="auto" w:fill="FFFFFF"/>
              </w:rPr>
              <w:t xml:space="preserve">в) расходы в сумме </w:t>
            </w:r>
            <w:r>
              <w:rPr>
                <w:color w:val="000000"/>
                <w:shd w:val="clear" w:color="auto" w:fill="FFFFFF"/>
              </w:rPr>
              <w:t>288 365 516</w:t>
            </w:r>
            <w:r w:rsidRPr="00E71CE0">
              <w:rPr>
                <w:color w:val="000000"/>
                <w:shd w:val="clear" w:color="auto" w:fill="FFFFFF"/>
              </w:rPr>
              <w:t xml:space="preserve"> рублей.</w:t>
            </w:r>
          </w:p>
          <w:p w14:paraId="197C0E14" w14:textId="77777777" w:rsidR="0001604F" w:rsidRPr="00E71CE0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E71CE0">
              <w:rPr>
                <w:color w:val="000000"/>
                <w:shd w:val="clear" w:color="auto" w:fill="FFFFFF"/>
              </w:rPr>
              <w:lastRenderedPageBreak/>
              <w:t>Сроки исполнения работ (услуг) по договорам, заключенным в 2023 году во исполнение программы капитальных вложений и программы капитального ремонта на 2023 год, по которым работы (услуги) не выполнены в полном объеме и, соответственно, не оплачены, продлеваются на 2024 год.</w:t>
            </w:r>
          </w:p>
          <w:p w14:paraId="4734CE5C" w14:textId="6DFC8507" w:rsidR="0001604F" w:rsidRPr="00E71CE0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E71CE0">
              <w:rPr>
                <w:color w:val="000000"/>
                <w:shd w:val="clear" w:color="auto" w:fill="FFFFFF"/>
              </w:rPr>
              <w:t xml:space="preserve">2. В 2024 году часть денежных средств, поступивших в счет уплаты единого таможенного платежа с 1 января по 29 февраля 2024 года в размере 20,46 процента, с 1 марта по 31 мая 2024 года – 27,0 процента, </w:t>
            </w:r>
            <w:r w:rsidR="0070001A">
              <w:rPr>
                <w:color w:val="000000"/>
                <w:shd w:val="clear" w:color="auto" w:fill="FFFFFF"/>
              </w:rPr>
              <w:t xml:space="preserve">с 1 июня </w:t>
            </w:r>
            <w:r w:rsidR="0070001A" w:rsidRPr="0001604F">
              <w:rPr>
                <w:color w:val="000000"/>
                <w:shd w:val="clear" w:color="auto" w:fill="FFFFFF"/>
              </w:rPr>
              <w:t xml:space="preserve">по 30 сентября 2024 года – 32,47 процента, с 1 октября по 31 </w:t>
            </w:r>
            <w:r w:rsidR="0070001A">
              <w:rPr>
                <w:color w:val="000000"/>
                <w:shd w:val="clear" w:color="auto" w:fill="FFFFFF"/>
              </w:rPr>
              <w:t>декабря</w:t>
            </w:r>
            <w:r w:rsidR="0070001A" w:rsidRPr="0001604F">
              <w:rPr>
                <w:color w:val="000000"/>
                <w:shd w:val="clear" w:color="auto" w:fill="FFFFFF"/>
              </w:rPr>
              <w:t xml:space="preserve"> 2024 года – 34,22 процента, </w:t>
            </w:r>
            <w:r w:rsidRPr="00E71CE0">
              <w:rPr>
                <w:color w:val="000000"/>
                <w:shd w:val="clear" w:color="auto" w:fill="FFFFFF"/>
              </w:rPr>
              <w:t>перечисляется в доход Фонда капитальных вложений Приднестровской Молдавской Республики.</w:t>
            </w:r>
          </w:p>
          <w:p w14:paraId="04D861F1" w14:textId="4FDD88FF" w:rsidR="0001604F" w:rsidRPr="002D5095" w:rsidRDefault="0001604F" w:rsidP="002C163D">
            <w:pPr>
              <w:ind w:firstLine="709"/>
              <w:jc w:val="both"/>
              <w:rPr>
                <w:b/>
              </w:rPr>
            </w:pPr>
            <w:r w:rsidRPr="00E71CE0"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2431" w:type="pct"/>
          </w:tcPr>
          <w:p w14:paraId="4AFF1685" w14:textId="77777777" w:rsidR="0001604F" w:rsidRDefault="0001604F" w:rsidP="002C163D">
            <w:pPr>
              <w:ind w:firstLine="709"/>
              <w:jc w:val="both"/>
              <w:rPr>
                <w:b/>
              </w:rPr>
            </w:pPr>
            <w:r w:rsidRPr="00A15C05">
              <w:rPr>
                <w:b/>
              </w:rPr>
              <w:lastRenderedPageBreak/>
              <w:t>Статья 19.</w:t>
            </w:r>
          </w:p>
          <w:p w14:paraId="42177826" w14:textId="77777777" w:rsidR="0001604F" w:rsidRPr="0001604F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BB0D5F">
              <w:t>1</w:t>
            </w:r>
            <w:r w:rsidRPr="0001604F">
              <w:rPr>
                <w:color w:val="000000"/>
                <w:shd w:val="clear" w:color="auto" w:fill="FFFFFF"/>
              </w:rPr>
              <w:t>. Утвердить основные характеристики Фонда капитальных вложений Приднестровской Молдавской Республики, а также источники формирования и направления расходования средств согласно Приложению № 2.2 к настоящему Закону, в том числе:</w:t>
            </w:r>
          </w:p>
          <w:p w14:paraId="19692718" w14:textId="77777777" w:rsidR="0001604F" w:rsidRPr="0001604F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01604F">
              <w:rPr>
                <w:color w:val="000000"/>
                <w:shd w:val="clear" w:color="auto" w:fill="FFFFFF"/>
              </w:rPr>
              <w:t xml:space="preserve">а) остатки средств по состоянию на 1 января 2024 года в сумме 12 134 425 рублей; </w:t>
            </w:r>
          </w:p>
          <w:p w14:paraId="6064939E" w14:textId="77777777" w:rsidR="002C163D" w:rsidRDefault="002C163D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</w:p>
          <w:p w14:paraId="720D7CA9" w14:textId="28ABC300" w:rsidR="0001604F" w:rsidRPr="0001604F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01604F">
              <w:rPr>
                <w:color w:val="000000"/>
                <w:shd w:val="clear" w:color="auto" w:fill="FFFFFF"/>
              </w:rPr>
              <w:t xml:space="preserve">б) доходы в сумме   </w:t>
            </w:r>
            <w:r w:rsidRPr="0070001A">
              <w:rPr>
                <w:b/>
                <w:color w:val="000000"/>
                <w:shd w:val="clear" w:color="auto" w:fill="FFFFFF"/>
              </w:rPr>
              <w:t>297 394 958 рублей</w:t>
            </w:r>
            <w:r w:rsidRPr="0001604F">
              <w:rPr>
                <w:color w:val="000000"/>
                <w:shd w:val="clear" w:color="auto" w:fill="FFFFFF"/>
              </w:rPr>
              <w:t>;</w:t>
            </w:r>
          </w:p>
          <w:p w14:paraId="0A746166" w14:textId="77777777" w:rsidR="0001604F" w:rsidRPr="0001604F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01604F">
              <w:rPr>
                <w:color w:val="000000"/>
                <w:shd w:val="clear" w:color="auto" w:fill="FFFFFF"/>
              </w:rPr>
              <w:t xml:space="preserve">в) расходы в сумме </w:t>
            </w:r>
            <w:r w:rsidRPr="0070001A">
              <w:rPr>
                <w:b/>
                <w:color w:val="000000"/>
                <w:shd w:val="clear" w:color="auto" w:fill="FFFFFF"/>
              </w:rPr>
              <w:t>309 529 383 рубля</w:t>
            </w:r>
            <w:r w:rsidRPr="0001604F">
              <w:rPr>
                <w:color w:val="000000"/>
                <w:shd w:val="clear" w:color="auto" w:fill="FFFFFF"/>
              </w:rPr>
              <w:t>.</w:t>
            </w:r>
          </w:p>
          <w:p w14:paraId="2DC93F3A" w14:textId="77777777" w:rsidR="0001604F" w:rsidRPr="0001604F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01604F">
              <w:rPr>
                <w:color w:val="000000"/>
                <w:shd w:val="clear" w:color="auto" w:fill="FFFFFF"/>
              </w:rPr>
              <w:lastRenderedPageBreak/>
              <w:t>Сроки исполнения работ (услуг) по договорам, заключенным в 2023 году во исполнение программы капитальных вложений и программы капитального ремонта на 2023 год, по которым работы (услуги) не выполнены в полном объеме и, соответственно, не оплачены, продлеваются на 2024 год.</w:t>
            </w:r>
          </w:p>
          <w:p w14:paraId="2F2BDBFA" w14:textId="09CF6248" w:rsidR="0001604F" w:rsidRDefault="0001604F" w:rsidP="002C163D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01604F">
              <w:rPr>
                <w:color w:val="000000"/>
                <w:shd w:val="clear" w:color="auto" w:fill="FFFFFF"/>
              </w:rPr>
              <w:t xml:space="preserve">2. В 2024 году часть денежных средств, поступивших в счет уплаты единого таможенного платежа с 1 января по 29 февраля 2024 года в размере 20,46 процента, с 1 марта по 31 мая 2024 </w:t>
            </w:r>
            <w:r>
              <w:rPr>
                <w:color w:val="000000"/>
                <w:shd w:val="clear" w:color="auto" w:fill="FFFFFF"/>
              </w:rPr>
              <w:t xml:space="preserve">года – 27,0 процента, с 1 июня </w:t>
            </w:r>
            <w:r w:rsidRPr="0001604F">
              <w:rPr>
                <w:color w:val="000000"/>
                <w:shd w:val="clear" w:color="auto" w:fill="FFFFFF"/>
              </w:rPr>
              <w:t xml:space="preserve">по 30 сентября 2024 года – 32,47 процента, с 1 октября по 31 октября 2024 года – 34,22 процента, </w:t>
            </w:r>
            <w:r w:rsidRPr="0070001A">
              <w:rPr>
                <w:b/>
                <w:color w:val="000000"/>
                <w:shd w:val="clear" w:color="auto" w:fill="FFFFFF"/>
              </w:rPr>
              <w:t xml:space="preserve">с 1 ноября 2024 года по 31 декабря 2024 года </w:t>
            </w:r>
            <w:r w:rsidR="002C163D">
              <w:rPr>
                <w:b/>
                <w:color w:val="000000"/>
                <w:shd w:val="clear" w:color="auto" w:fill="FFFFFF"/>
              </w:rPr>
              <w:t xml:space="preserve">– </w:t>
            </w:r>
            <w:r w:rsidRPr="0070001A">
              <w:rPr>
                <w:b/>
                <w:color w:val="000000"/>
                <w:shd w:val="clear" w:color="auto" w:fill="FFFFFF"/>
              </w:rPr>
              <w:t xml:space="preserve">47,11 </w:t>
            </w:r>
            <w:r w:rsidRPr="0001604F">
              <w:rPr>
                <w:color w:val="000000"/>
                <w:shd w:val="clear" w:color="auto" w:fill="FFFFFF"/>
              </w:rPr>
              <w:t xml:space="preserve">процента, перечисляется в доход Фонда капитальных вложений Приднестровской Молдавской Республики </w:t>
            </w:r>
          </w:p>
          <w:p w14:paraId="7C320914" w14:textId="479B62D8" w:rsidR="0001604F" w:rsidRPr="002D5095" w:rsidRDefault="0001604F" w:rsidP="002C163D">
            <w:pPr>
              <w:ind w:firstLine="709"/>
              <w:jc w:val="both"/>
              <w:rPr>
                <w:b/>
              </w:rPr>
            </w:pPr>
            <w:r w:rsidRPr="0001604F">
              <w:rPr>
                <w:color w:val="000000"/>
                <w:shd w:val="clear" w:color="auto" w:fill="FFFFFF"/>
              </w:rPr>
              <w:t>…</w:t>
            </w:r>
          </w:p>
        </w:tc>
      </w:tr>
      <w:tr w:rsidR="009B5A3C" w:rsidRPr="0085315C" w14:paraId="07DA3BED" w14:textId="77777777" w:rsidTr="0095174F">
        <w:trPr>
          <w:trHeight w:val="70"/>
        </w:trPr>
        <w:tc>
          <w:tcPr>
            <w:tcW w:w="231" w:type="pct"/>
          </w:tcPr>
          <w:p w14:paraId="74D31188" w14:textId="108A4E26" w:rsidR="009B5A3C" w:rsidRDefault="008C3B85" w:rsidP="002C163D">
            <w:pPr>
              <w:jc w:val="center"/>
            </w:pPr>
            <w:r>
              <w:lastRenderedPageBreak/>
              <w:t>7</w:t>
            </w:r>
            <w:r w:rsidR="003C643C">
              <w:t>.</w:t>
            </w:r>
          </w:p>
        </w:tc>
        <w:tc>
          <w:tcPr>
            <w:tcW w:w="2338" w:type="pct"/>
          </w:tcPr>
          <w:p w14:paraId="3FD1BA10" w14:textId="77777777" w:rsidR="003C643C" w:rsidRPr="003C643C" w:rsidRDefault="003C643C" w:rsidP="003C643C">
            <w:pPr>
              <w:ind w:firstLine="760"/>
              <w:jc w:val="both"/>
              <w:rPr>
                <w:b/>
                <w:bCs/>
              </w:rPr>
            </w:pPr>
            <w:r w:rsidRPr="003C643C">
              <w:rPr>
                <w:b/>
                <w:bCs/>
              </w:rPr>
              <w:t>Статья 38.</w:t>
            </w:r>
          </w:p>
          <w:p w14:paraId="6BDBD0D3" w14:textId="06D16C48" w:rsidR="003C643C" w:rsidRPr="00182EEA" w:rsidRDefault="003C643C" w:rsidP="003C643C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3C643C">
              <w:rPr>
                <w:bCs/>
              </w:rPr>
              <w:t>Установить, что с 1 ноября 2024 года принятие бюджетных обязательств республиканского и местных бюджетов по выполнению работ по строительству, реконструкции и капитальному ремонту в виде заключения договоров (контрактов) не допускае</w:t>
            </w:r>
            <w:r w:rsidRPr="00702557">
              <w:rPr>
                <w:bCs/>
              </w:rPr>
              <w:t>тся</w:t>
            </w:r>
            <w:r w:rsidRPr="00182EEA">
              <w:rPr>
                <w:bCs/>
                <w:sz w:val="28"/>
                <w:szCs w:val="28"/>
              </w:rPr>
              <w:t>.</w:t>
            </w:r>
          </w:p>
          <w:p w14:paraId="605472CF" w14:textId="77777777" w:rsidR="009B5A3C" w:rsidRPr="00E71CE0" w:rsidRDefault="009B5A3C" w:rsidP="002C163D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431" w:type="pct"/>
          </w:tcPr>
          <w:p w14:paraId="3179415B" w14:textId="77777777" w:rsidR="00702557" w:rsidRPr="003C643C" w:rsidRDefault="00702557" w:rsidP="00702557">
            <w:pPr>
              <w:ind w:firstLine="760"/>
              <w:jc w:val="both"/>
              <w:rPr>
                <w:b/>
                <w:bCs/>
              </w:rPr>
            </w:pPr>
            <w:r w:rsidRPr="003C643C">
              <w:rPr>
                <w:b/>
                <w:bCs/>
              </w:rPr>
              <w:t>Статья 38.</w:t>
            </w:r>
          </w:p>
          <w:p w14:paraId="22C55853" w14:textId="7B953E86" w:rsidR="009B5A3C" w:rsidRPr="0095174F" w:rsidRDefault="00702557" w:rsidP="0095174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3C643C">
              <w:rPr>
                <w:bCs/>
              </w:rPr>
              <w:t xml:space="preserve">Установить, что с </w:t>
            </w:r>
            <w:r w:rsidRPr="00702557">
              <w:rPr>
                <w:b/>
                <w:bCs/>
              </w:rPr>
              <w:t>1 декабря</w:t>
            </w:r>
            <w:r w:rsidRPr="00702557">
              <w:rPr>
                <w:bCs/>
              </w:rPr>
              <w:t xml:space="preserve"> </w:t>
            </w:r>
            <w:r w:rsidRPr="003C643C">
              <w:rPr>
                <w:bCs/>
              </w:rPr>
              <w:t xml:space="preserve">2024 года принятие бюджетных обязательств республиканского и местных бюджетов по выполнению работ по строительству, реконструкции и капитальному ремонту в виде заключения договоров (контрактов) не </w:t>
            </w:r>
            <w:r w:rsidRPr="0095174F">
              <w:rPr>
                <w:bCs/>
              </w:rPr>
              <w:t>допускается.</w:t>
            </w:r>
          </w:p>
        </w:tc>
      </w:tr>
    </w:tbl>
    <w:p w14:paraId="1D49573C" w14:textId="77777777" w:rsidR="00A43ADA" w:rsidRDefault="00A43ADA" w:rsidP="002C163D"/>
    <w:sectPr w:rsidR="00A43ADA" w:rsidSect="00BB7457">
      <w:headerReference w:type="default" r:id="rId8"/>
      <w:pgSz w:w="16838" w:h="11906" w:orient="landscape"/>
      <w:pgMar w:top="1276" w:right="1134" w:bottom="851" w:left="1134" w:header="709" w:footer="709" w:gutter="0"/>
      <w:pgNumType w:fmt="numberInDash"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F2FC0" w14:textId="77777777" w:rsidR="006F7A22" w:rsidRDefault="006F7A22" w:rsidP="00CD5E04">
      <w:r>
        <w:separator/>
      </w:r>
    </w:p>
  </w:endnote>
  <w:endnote w:type="continuationSeparator" w:id="0">
    <w:p w14:paraId="010B4E31" w14:textId="77777777" w:rsidR="006F7A22" w:rsidRDefault="006F7A22" w:rsidP="00C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C666F" w14:textId="77777777" w:rsidR="006F7A22" w:rsidRDefault="006F7A22" w:rsidP="00CD5E04">
      <w:r>
        <w:separator/>
      </w:r>
    </w:p>
  </w:footnote>
  <w:footnote w:type="continuationSeparator" w:id="0">
    <w:p w14:paraId="036FF11D" w14:textId="77777777" w:rsidR="006F7A22" w:rsidRDefault="006F7A22" w:rsidP="00CD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929291"/>
      <w:docPartObj>
        <w:docPartGallery w:val="Page Numbers (Top of Page)"/>
        <w:docPartUnique/>
      </w:docPartObj>
    </w:sdtPr>
    <w:sdtContent>
      <w:p w14:paraId="64A5112A" w14:textId="5E75EF0A" w:rsidR="00BB7457" w:rsidRDefault="00BB74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- 109 -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4FE1"/>
    <w:multiLevelType w:val="hybridMultilevel"/>
    <w:tmpl w:val="DD50CF92"/>
    <w:lvl w:ilvl="0" w:tplc="DF6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5E2BDF"/>
    <w:multiLevelType w:val="hybridMultilevel"/>
    <w:tmpl w:val="F84E8BDC"/>
    <w:lvl w:ilvl="0" w:tplc="C8E22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085CEF"/>
    <w:multiLevelType w:val="hybridMultilevel"/>
    <w:tmpl w:val="1902A1E2"/>
    <w:lvl w:ilvl="0" w:tplc="59F0AF7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AD0849"/>
    <w:multiLevelType w:val="hybridMultilevel"/>
    <w:tmpl w:val="1902A1E2"/>
    <w:lvl w:ilvl="0" w:tplc="FFFFFFFF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EE330B"/>
    <w:multiLevelType w:val="hybridMultilevel"/>
    <w:tmpl w:val="0FC2D4D0"/>
    <w:lvl w:ilvl="0" w:tplc="315AD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81628"/>
    <w:multiLevelType w:val="hybridMultilevel"/>
    <w:tmpl w:val="E234A548"/>
    <w:lvl w:ilvl="0" w:tplc="4BBAA9C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DA"/>
    <w:rsid w:val="000011B5"/>
    <w:rsid w:val="00006399"/>
    <w:rsid w:val="0001604F"/>
    <w:rsid w:val="000173F8"/>
    <w:rsid w:val="00023C0D"/>
    <w:rsid w:val="00052FBF"/>
    <w:rsid w:val="000535E0"/>
    <w:rsid w:val="00057238"/>
    <w:rsid w:val="0006452A"/>
    <w:rsid w:val="00065DDE"/>
    <w:rsid w:val="000823F8"/>
    <w:rsid w:val="000953A4"/>
    <w:rsid w:val="000A21C0"/>
    <w:rsid w:val="000A2741"/>
    <w:rsid w:val="000B7AA4"/>
    <w:rsid w:val="000C7849"/>
    <w:rsid w:val="000D2D73"/>
    <w:rsid w:val="000D39FA"/>
    <w:rsid w:val="000E0DE6"/>
    <w:rsid w:val="000E357B"/>
    <w:rsid w:val="00100116"/>
    <w:rsid w:val="001012B5"/>
    <w:rsid w:val="001037D3"/>
    <w:rsid w:val="00110437"/>
    <w:rsid w:val="00135372"/>
    <w:rsid w:val="001528C3"/>
    <w:rsid w:val="00155D4A"/>
    <w:rsid w:val="001575C2"/>
    <w:rsid w:val="001607B5"/>
    <w:rsid w:val="0016177C"/>
    <w:rsid w:val="0016233A"/>
    <w:rsid w:val="00163D8B"/>
    <w:rsid w:val="001753E3"/>
    <w:rsid w:val="001759F0"/>
    <w:rsid w:val="00175D85"/>
    <w:rsid w:val="00176A45"/>
    <w:rsid w:val="00190552"/>
    <w:rsid w:val="00194684"/>
    <w:rsid w:val="001A17B1"/>
    <w:rsid w:val="001A5243"/>
    <w:rsid w:val="001B1E00"/>
    <w:rsid w:val="001B5FB2"/>
    <w:rsid w:val="001B7044"/>
    <w:rsid w:val="001B758E"/>
    <w:rsid w:val="001C4D89"/>
    <w:rsid w:val="001D3DDB"/>
    <w:rsid w:val="001D7B14"/>
    <w:rsid w:val="001F171A"/>
    <w:rsid w:val="001F1CCB"/>
    <w:rsid w:val="001F4105"/>
    <w:rsid w:val="00201F6E"/>
    <w:rsid w:val="002247E1"/>
    <w:rsid w:val="00233398"/>
    <w:rsid w:val="00247211"/>
    <w:rsid w:val="00250E3C"/>
    <w:rsid w:val="002510F5"/>
    <w:rsid w:val="002673AD"/>
    <w:rsid w:val="002801E9"/>
    <w:rsid w:val="00285F1E"/>
    <w:rsid w:val="0029041E"/>
    <w:rsid w:val="002960B5"/>
    <w:rsid w:val="0029664E"/>
    <w:rsid w:val="002A1278"/>
    <w:rsid w:val="002A1AF4"/>
    <w:rsid w:val="002A5011"/>
    <w:rsid w:val="002B0427"/>
    <w:rsid w:val="002B7D23"/>
    <w:rsid w:val="002C0C4E"/>
    <w:rsid w:val="002C163D"/>
    <w:rsid w:val="002D5095"/>
    <w:rsid w:val="002D70D1"/>
    <w:rsid w:val="002D79D7"/>
    <w:rsid w:val="002E075A"/>
    <w:rsid w:val="002E0B71"/>
    <w:rsid w:val="002E1D5F"/>
    <w:rsid w:val="002E23D3"/>
    <w:rsid w:val="002F09FE"/>
    <w:rsid w:val="002F3624"/>
    <w:rsid w:val="00300D4E"/>
    <w:rsid w:val="0030755E"/>
    <w:rsid w:val="00320F3D"/>
    <w:rsid w:val="00327449"/>
    <w:rsid w:val="00330C64"/>
    <w:rsid w:val="00335D0A"/>
    <w:rsid w:val="00365C61"/>
    <w:rsid w:val="003822EB"/>
    <w:rsid w:val="00384E41"/>
    <w:rsid w:val="00397B26"/>
    <w:rsid w:val="003A04C4"/>
    <w:rsid w:val="003A1040"/>
    <w:rsid w:val="003B3B3A"/>
    <w:rsid w:val="003B481C"/>
    <w:rsid w:val="003B6075"/>
    <w:rsid w:val="003C1CDE"/>
    <w:rsid w:val="003C426B"/>
    <w:rsid w:val="003C53F9"/>
    <w:rsid w:val="003C643C"/>
    <w:rsid w:val="003D23AB"/>
    <w:rsid w:val="003D671F"/>
    <w:rsid w:val="003E0460"/>
    <w:rsid w:val="003E2758"/>
    <w:rsid w:val="003E2D9C"/>
    <w:rsid w:val="003E63BC"/>
    <w:rsid w:val="003E7F61"/>
    <w:rsid w:val="003F314D"/>
    <w:rsid w:val="00403FCA"/>
    <w:rsid w:val="00404656"/>
    <w:rsid w:val="00412A3F"/>
    <w:rsid w:val="00414751"/>
    <w:rsid w:val="0041636E"/>
    <w:rsid w:val="00417849"/>
    <w:rsid w:val="00420F2C"/>
    <w:rsid w:val="00426E50"/>
    <w:rsid w:val="00427737"/>
    <w:rsid w:val="00427B66"/>
    <w:rsid w:val="00435076"/>
    <w:rsid w:val="00437F82"/>
    <w:rsid w:val="004444A0"/>
    <w:rsid w:val="00447E06"/>
    <w:rsid w:val="00464C85"/>
    <w:rsid w:val="00464FD9"/>
    <w:rsid w:val="00475023"/>
    <w:rsid w:val="004863CA"/>
    <w:rsid w:val="004870A0"/>
    <w:rsid w:val="004B1CEF"/>
    <w:rsid w:val="004C11D3"/>
    <w:rsid w:val="004C2FEE"/>
    <w:rsid w:val="004C3A19"/>
    <w:rsid w:val="004D4156"/>
    <w:rsid w:val="004E621B"/>
    <w:rsid w:val="00511243"/>
    <w:rsid w:val="00512A39"/>
    <w:rsid w:val="00514B30"/>
    <w:rsid w:val="005205FB"/>
    <w:rsid w:val="005324D2"/>
    <w:rsid w:val="00534F80"/>
    <w:rsid w:val="00552580"/>
    <w:rsid w:val="00553C02"/>
    <w:rsid w:val="00555A6C"/>
    <w:rsid w:val="00580152"/>
    <w:rsid w:val="0059062B"/>
    <w:rsid w:val="00591EF3"/>
    <w:rsid w:val="005A541A"/>
    <w:rsid w:val="005B1CE4"/>
    <w:rsid w:val="005B6F4A"/>
    <w:rsid w:val="005C2E84"/>
    <w:rsid w:val="005D2916"/>
    <w:rsid w:val="005D5FF0"/>
    <w:rsid w:val="005D6F80"/>
    <w:rsid w:val="005E2D7D"/>
    <w:rsid w:val="006024BF"/>
    <w:rsid w:val="0061676B"/>
    <w:rsid w:val="00617E20"/>
    <w:rsid w:val="00622F7B"/>
    <w:rsid w:val="00626B03"/>
    <w:rsid w:val="00630917"/>
    <w:rsid w:val="006379DA"/>
    <w:rsid w:val="00640984"/>
    <w:rsid w:val="00643179"/>
    <w:rsid w:val="00647147"/>
    <w:rsid w:val="00651CED"/>
    <w:rsid w:val="00653EF1"/>
    <w:rsid w:val="006625C0"/>
    <w:rsid w:val="00664577"/>
    <w:rsid w:val="0069285B"/>
    <w:rsid w:val="006A79C5"/>
    <w:rsid w:val="006B76A2"/>
    <w:rsid w:val="006B7B10"/>
    <w:rsid w:val="006D1582"/>
    <w:rsid w:val="006D1D41"/>
    <w:rsid w:val="006D3053"/>
    <w:rsid w:val="006D69A5"/>
    <w:rsid w:val="006D6C34"/>
    <w:rsid w:val="006E1E63"/>
    <w:rsid w:val="006E5AAD"/>
    <w:rsid w:val="006F10A2"/>
    <w:rsid w:val="006F32FF"/>
    <w:rsid w:val="006F7A22"/>
    <w:rsid w:val="0070001A"/>
    <w:rsid w:val="00702557"/>
    <w:rsid w:val="00715D02"/>
    <w:rsid w:val="00717A45"/>
    <w:rsid w:val="00721B9F"/>
    <w:rsid w:val="007318E0"/>
    <w:rsid w:val="00736F5C"/>
    <w:rsid w:val="0074478E"/>
    <w:rsid w:val="0075266D"/>
    <w:rsid w:val="007535B5"/>
    <w:rsid w:val="0076790D"/>
    <w:rsid w:val="00771251"/>
    <w:rsid w:val="00775F62"/>
    <w:rsid w:val="007766A5"/>
    <w:rsid w:val="00777734"/>
    <w:rsid w:val="007822A0"/>
    <w:rsid w:val="00783D46"/>
    <w:rsid w:val="00786C28"/>
    <w:rsid w:val="0079011B"/>
    <w:rsid w:val="00794375"/>
    <w:rsid w:val="007A06C0"/>
    <w:rsid w:val="007A4DE9"/>
    <w:rsid w:val="007C224F"/>
    <w:rsid w:val="007C4843"/>
    <w:rsid w:val="007C49F7"/>
    <w:rsid w:val="007D60DE"/>
    <w:rsid w:val="00806ADA"/>
    <w:rsid w:val="00807A68"/>
    <w:rsid w:val="0081073B"/>
    <w:rsid w:val="00816674"/>
    <w:rsid w:val="0082515C"/>
    <w:rsid w:val="00833527"/>
    <w:rsid w:val="00834574"/>
    <w:rsid w:val="00840A66"/>
    <w:rsid w:val="00841C49"/>
    <w:rsid w:val="00852E1E"/>
    <w:rsid w:val="0085315C"/>
    <w:rsid w:val="00857CC5"/>
    <w:rsid w:val="008731A0"/>
    <w:rsid w:val="00873215"/>
    <w:rsid w:val="00877B2D"/>
    <w:rsid w:val="00884CA7"/>
    <w:rsid w:val="008A6D55"/>
    <w:rsid w:val="008B28A2"/>
    <w:rsid w:val="008B4E01"/>
    <w:rsid w:val="008C3B85"/>
    <w:rsid w:val="008E3B8F"/>
    <w:rsid w:val="008E586D"/>
    <w:rsid w:val="008F0A50"/>
    <w:rsid w:val="008F0CE0"/>
    <w:rsid w:val="008F1718"/>
    <w:rsid w:val="009065D7"/>
    <w:rsid w:val="0090726B"/>
    <w:rsid w:val="00911CA1"/>
    <w:rsid w:val="00920D65"/>
    <w:rsid w:val="00930F8F"/>
    <w:rsid w:val="00932A78"/>
    <w:rsid w:val="00934CBA"/>
    <w:rsid w:val="0095174F"/>
    <w:rsid w:val="00955615"/>
    <w:rsid w:val="009567D5"/>
    <w:rsid w:val="00956ED3"/>
    <w:rsid w:val="0096353A"/>
    <w:rsid w:val="00966275"/>
    <w:rsid w:val="00986801"/>
    <w:rsid w:val="009917B7"/>
    <w:rsid w:val="00992D47"/>
    <w:rsid w:val="009938F9"/>
    <w:rsid w:val="00997891"/>
    <w:rsid w:val="009A0E9C"/>
    <w:rsid w:val="009A7201"/>
    <w:rsid w:val="009B5A3C"/>
    <w:rsid w:val="009B7DBF"/>
    <w:rsid w:val="009C0AEC"/>
    <w:rsid w:val="009D559C"/>
    <w:rsid w:val="009E1180"/>
    <w:rsid w:val="009E2AF2"/>
    <w:rsid w:val="009E2C95"/>
    <w:rsid w:val="00A06981"/>
    <w:rsid w:val="00A10F7D"/>
    <w:rsid w:val="00A15C05"/>
    <w:rsid w:val="00A23C6D"/>
    <w:rsid w:val="00A30B47"/>
    <w:rsid w:val="00A4186B"/>
    <w:rsid w:val="00A4299E"/>
    <w:rsid w:val="00A43ADA"/>
    <w:rsid w:val="00A448E0"/>
    <w:rsid w:val="00A45E4E"/>
    <w:rsid w:val="00A66AC4"/>
    <w:rsid w:val="00A67F74"/>
    <w:rsid w:val="00A718E3"/>
    <w:rsid w:val="00A73A2D"/>
    <w:rsid w:val="00A858D7"/>
    <w:rsid w:val="00A85BA1"/>
    <w:rsid w:val="00A94B60"/>
    <w:rsid w:val="00AC16F6"/>
    <w:rsid w:val="00AC38F6"/>
    <w:rsid w:val="00AC642B"/>
    <w:rsid w:val="00AC6739"/>
    <w:rsid w:val="00AD246C"/>
    <w:rsid w:val="00AD3BC2"/>
    <w:rsid w:val="00AD5202"/>
    <w:rsid w:val="00AD5694"/>
    <w:rsid w:val="00AE1BAD"/>
    <w:rsid w:val="00AE247A"/>
    <w:rsid w:val="00AE3548"/>
    <w:rsid w:val="00AF1D56"/>
    <w:rsid w:val="00AF5C80"/>
    <w:rsid w:val="00AF7559"/>
    <w:rsid w:val="00B00409"/>
    <w:rsid w:val="00B0453E"/>
    <w:rsid w:val="00B23F01"/>
    <w:rsid w:val="00B31CB4"/>
    <w:rsid w:val="00B3414D"/>
    <w:rsid w:val="00B55B5E"/>
    <w:rsid w:val="00B60131"/>
    <w:rsid w:val="00B647AA"/>
    <w:rsid w:val="00B6716D"/>
    <w:rsid w:val="00B821BA"/>
    <w:rsid w:val="00B82D7D"/>
    <w:rsid w:val="00B91BC5"/>
    <w:rsid w:val="00B94A7F"/>
    <w:rsid w:val="00B9677F"/>
    <w:rsid w:val="00BA19BD"/>
    <w:rsid w:val="00BA409F"/>
    <w:rsid w:val="00BB1D8A"/>
    <w:rsid w:val="00BB4CF9"/>
    <w:rsid w:val="00BB7457"/>
    <w:rsid w:val="00BB74EA"/>
    <w:rsid w:val="00BD4654"/>
    <w:rsid w:val="00BE48ED"/>
    <w:rsid w:val="00BF327F"/>
    <w:rsid w:val="00BF5EED"/>
    <w:rsid w:val="00C04954"/>
    <w:rsid w:val="00C105B0"/>
    <w:rsid w:val="00C17CF7"/>
    <w:rsid w:val="00C22DFF"/>
    <w:rsid w:val="00C30A2E"/>
    <w:rsid w:val="00C35C53"/>
    <w:rsid w:val="00C3732D"/>
    <w:rsid w:val="00C40541"/>
    <w:rsid w:val="00C5055D"/>
    <w:rsid w:val="00C52FAB"/>
    <w:rsid w:val="00C54A3A"/>
    <w:rsid w:val="00C6239B"/>
    <w:rsid w:val="00C629DE"/>
    <w:rsid w:val="00C727DD"/>
    <w:rsid w:val="00C7672B"/>
    <w:rsid w:val="00C80B6B"/>
    <w:rsid w:val="00C858D5"/>
    <w:rsid w:val="00C91A88"/>
    <w:rsid w:val="00C953F2"/>
    <w:rsid w:val="00CA529F"/>
    <w:rsid w:val="00CB4258"/>
    <w:rsid w:val="00CC396F"/>
    <w:rsid w:val="00CD0964"/>
    <w:rsid w:val="00CD1AF2"/>
    <w:rsid w:val="00CD33B0"/>
    <w:rsid w:val="00CD3FCA"/>
    <w:rsid w:val="00CD5E04"/>
    <w:rsid w:val="00CE110A"/>
    <w:rsid w:val="00D02BE0"/>
    <w:rsid w:val="00D2099C"/>
    <w:rsid w:val="00D21274"/>
    <w:rsid w:val="00D22BF1"/>
    <w:rsid w:val="00D30DE7"/>
    <w:rsid w:val="00D31EA0"/>
    <w:rsid w:val="00D62F19"/>
    <w:rsid w:val="00D64ECF"/>
    <w:rsid w:val="00D72E8D"/>
    <w:rsid w:val="00D8185D"/>
    <w:rsid w:val="00D840DF"/>
    <w:rsid w:val="00D85F8E"/>
    <w:rsid w:val="00D92A78"/>
    <w:rsid w:val="00D95575"/>
    <w:rsid w:val="00D96462"/>
    <w:rsid w:val="00D976C8"/>
    <w:rsid w:val="00DB5AEF"/>
    <w:rsid w:val="00DC2C8B"/>
    <w:rsid w:val="00DC3082"/>
    <w:rsid w:val="00DC5671"/>
    <w:rsid w:val="00DC6006"/>
    <w:rsid w:val="00DD685E"/>
    <w:rsid w:val="00DE20E5"/>
    <w:rsid w:val="00DE3362"/>
    <w:rsid w:val="00DF0306"/>
    <w:rsid w:val="00DF04EA"/>
    <w:rsid w:val="00DF0818"/>
    <w:rsid w:val="00DF37C9"/>
    <w:rsid w:val="00E02CD1"/>
    <w:rsid w:val="00E13F0F"/>
    <w:rsid w:val="00E150DD"/>
    <w:rsid w:val="00E2061B"/>
    <w:rsid w:val="00E31C48"/>
    <w:rsid w:val="00E347FC"/>
    <w:rsid w:val="00E45BAE"/>
    <w:rsid w:val="00E46975"/>
    <w:rsid w:val="00E475F1"/>
    <w:rsid w:val="00E51478"/>
    <w:rsid w:val="00E57FE1"/>
    <w:rsid w:val="00E679CB"/>
    <w:rsid w:val="00E71CE0"/>
    <w:rsid w:val="00E72A93"/>
    <w:rsid w:val="00E7401F"/>
    <w:rsid w:val="00E91BBB"/>
    <w:rsid w:val="00E958F5"/>
    <w:rsid w:val="00EA562C"/>
    <w:rsid w:val="00EB607A"/>
    <w:rsid w:val="00EE1C5B"/>
    <w:rsid w:val="00EE41E6"/>
    <w:rsid w:val="00EE7C50"/>
    <w:rsid w:val="00EF14E6"/>
    <w:rsid w:val="00EF3FF2"/>
    <w:rsid w:val="00F22B96"/>
    <w:rsid w:val="00F325D0"/>
    <w:rsid w:val="00F37271"/>
    <w:rsid w:val="00F62CD9"/>
    <w:rsid w:val="00F65056"/>
    <w:rsid w:val="00F660C4"/>
    <w:rsid w:val="00F715F2"/>
    <w:rsid w:val="00F76D9B"/>
    <w:rsid w:val="00F82764"/>
    <w:rsid w:val="00F82D08"/>
    <w:rsid w:val="00F83F08"/>
    <w:rsid w:val="00F865E8"/>
    <w:rsid w:val="00F9018E"/>
    <w:rsid w:val="00F954E5"/>
    <w:rsid w:val="00FB77BB"/>
    <w:rsid w:val="00FC239C"/>
    <w:rsid w:val="00FC6FBC"/>
    <w:rsid w:val="00FE3E1F"/>
    <w:rsid w:val="00FE70B8"/>
    <w:rsid w:val="00FE76CE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96D66"/>
  <w15:chartTrackingRefBased/>
  <w15:docId w15:val="{E97D3F46-BCE2-42BB-9E53-E00597C7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116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55A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D246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E31C4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31C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aliases w:val=" Знак Знак Знак, Знак Знак, Знак,Текст Знак Знак1 Знак,Текст Знак2 Знак Знак Знак, Знак Знак Знак Знак Знак Знак Знак,Зн, , Знак3"/>
    <w:basedOn w:val="a"/>
    <w:link w:val="a9"/>
    <w:rsid w:val="007C4843"/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aliases w:val=" Знак Знак Знак Знак, Знак Знак Знак1, Знак Знак1,Текст Знак Знак1 Знак Знак,Текст Знак2 Знак Знак Знак Знак, Знак Знак Знак Знак Знак Знак Знак Знак,Зн Знак,  Знак, Знак3 Знак"/>
    <w:basedOn w:val="a0"/>
    <w:link w:val="a8"/>
    <w:rsid w:val="007C4843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D5E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5E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1AF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1AF2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A27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001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03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3049-7904-4291-85EB-26472987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gbs24</dc:creator>
  <cp:keywords/>
  <dc:description/>
  <cp:lastModifiedBy>Кудрова А.А.</cp:lastModifiedBy>
  <cp:revision>6</cp:revision>
  <cp:lastPrinted>2024-10-11T12:23:00Z</cp:lastPrinted>
  <dcterms:created xsi:type="dcterms:W3CDTF">2024-10-09T13:13:00Z</dcterms:created>
  <dcterms:modified xsi:type="dcterms:W3CDTF">2024-10-14T08:10:00Z</dcterms:modified>
</cp:coreProperties>
</file>