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A6DC" w14:textId="77777777" w:rsidR="00B4079F" w:rsidRPr="001C0EFD" w:rsidRDefault="00B4079F" w:rsidP="00123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E36EA" w14:textId="77777777" w:rsidR="000E77B6" w:rsidRPr="001C0EFD" w:rsidRDefault="000E77B6" w:rsidP="00123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D8ACC" w14:textId="77777777" w:rsidR="000E77B6" w:rsidRPr="001C0EFD" w:rsidRDefault="000E77B6" w:rsidP="00123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2869B" w14:textId="77777777" w:rsidR="000E77B6" w:rsidRPr="001C0EFD" w:rsidRDefault="000E77B6" w:rsidP="00123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2C1A0" w14:textId="77777777" w:rsidR="000E77B6" w:rsidRPr="001C0EFD" w:rsidRDefault="000E77B6" w:rsidP="00123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ADE62" w14:textId="77777777" w:rsidR="000E77B6" w:rsidRPr="001C0EFD" w:rsidRDefault="000E77B6" w:rsidP="00123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22579" w14:textId="77777777" w:rsidR="000E77B6" w:rsidRPr="001C0EFD" w:rsidRDefault="000E77B6" w:rsidP="00123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484ED" w14:textId="77777777" w:rsidR="000E77B6" w:rsidRPr="001C0EFD" w:rsidRDefault="000E77B6" w:rsidP="00123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C3637" w14:textId="77777777" w:rsidR="000E77B6" w:rsidRPr="001C0EFD" w:rsidRDefault="000E77B6" w:rsidP="00123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8A5B5" w14:textId="77777777" w:rsidR="000E77B6" w:rsidRPr="001C0EFD" w:rsidRDefault="000E77B6" w:rsidP="00123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A06C4" w14:textId="77777777" w:rsidR="000E77B6" w:rsidRPr="001C0EFD" w:rsidRDefault="000E77B6" w:rsidP="00123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26A44" w14:textId="77777777" w:rsidR="000E77B6" w:rsidRPr="001C0EFD" w:rsidRDefault="00B4079F" w:rsidP="00123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Указ Президента </w:t>
      </w:r>
    </w:p>
    <w:p w14:paraId="25635CD0" w14:textId="77777777" w:rsidR="000E77B6" w:rsidRPr="001C0EFD" w:rsidRDefault="00B4079F" w:rsidP="00123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36490168" w14:textId="6FEC4F88" w:rsidR="00E9768D" w:rsidRPr="001C0EFD" w:rsidRDefault="00B4079F" w:rsidP="00123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C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марта 2019 года № 98 </w:t>
      </w:r>
    </w:p>
    <w:p w14:paraId="29C7C5EA" w14:textId="77777777" w:rsidR="00B4079F" w:rsidRPr="001C0EFD" w:rsidRDefault="00B4079F" w:rsidP="00123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медицинском освидетельствовании»</w:t>
      </w:r>
    </w:p>
    <w:p w14:paraId="70007CF8" w14:textId="77777777" w:rsidR="00B4079F" w:rsidRPr="001C0EFD" w:rsidRDefault="00B4079F" w:rsidP="00B40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72390" w14:textId="77777777" w:rsidR="00B4079F" w:rsidRPr="001C0EFD" w:rsidRDefault="00B4079F" w:rsidP="00B40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C33B0" w14:textId="0B95140F" w:rsidR="00B4079F" w:rsidRPr="001C0EFD" w:rsidRDefault="00B4079F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FD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Республики, в целях совершенствования отдельных положений нормативного правового акта</w:t>
      </w:r>
      <w:r w:rsidR="009052ED" w:rsidRPr="001C0EFD">
        <w:rPr>
          <w:rFonts w:ascii="Times New Roman" w:hAnsi="Times New Roman" w:cs="Times New Roman"/>
          <w:sz w:val="28"/>
          <w:szCs w:val="28"/>
        </w:rPr>
        <w:t>,</w:t>
      </w:r>
    </w:p>
    <w:p w14:paraId="5847C1C0" w14:textId="77777777" w:rsidR="00B4079F" w:rsidRPr="001C0EFD" w:rsidRDefault="00B4079F" w:rsidP="006A4923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0E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0EF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6E3A2E8C" w14:textId="77777777" w:rsidR="006A4923" w:rsidRPr="001C0EFD" w:rsidRDefault="006A4923" w:rsidP="006A4923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0C248" w14:textId="52144CE3" w:rsidR="00B4079F" w:rsidRPr="001C0EFD" w:rsidRDefault="00B4079F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FD">
        <w:rPr>
          <w:rFonts w:ascii="Times New Roman" w:hAnsi="Times New Roman" w:cs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="009052ED" w:rsidRPr="001C0EFD">
        <w:rPr>
          <w:rFonts w:ascii="Times New Roman" w:hAnsi="Times New Roman" w:cs="Times New Roman"/>
          <w:sz w:val="28"/>
          <w:szCs w:val="28"/>
        </w:rPr>
        <w:br/>
      </w:r>
      <w:r w:rsidRPr="001C0EFD">
        <w:rPr>
          <w:rFonts w:ascii="Times New Roman" w:hAnsi="Times New Roman" w:cs="Times New Roman"/>
          <w:sz w:val="28"/>
          <w:szCs w:val="28"/>
        </w:rPr>
        <w:t xml:space="preserve">от 29 марта 2019 года № 98 «Об утверждении Положения о медицинском освидетельствовании» (САЗ 19-12) с изменениями и дополнениями, внесенными указами Президента Приднестровской Молдавской Республики от 12 июля </w:t>
      </w:r>
      <w:r w:rsidR="00F51990">
        <w:rPr>
          <w:rFonts w:ascii="Times New Roman" w:hAnsi="Times New Roman" w:cs="Times New Roman"/>
          <w:sz w:val="28"/>
          <w:szCs w:val="28"/>
        </w:rPr>
        <w:br/>
      </w:r>
      <w:r w:rsidRPr="001C0EFD">
        <w:rPr>
          <w:rFonts w:ascii="Times New Roman" w:hAnsi="Times New Roman" w:cs="Times New Roman"/>
          <w:sz w:val="28"/>
          <w:szCs w:val="28"/>
        </w:rPr>
        <w:t xml:space="preserve">2019 года № 234 (САЗ 19-26), от 14 октября 2019 года № 350 (САЗ 19-40), </w:t>
      </w:r>
      <w:r w:rsidR="00F51990">
        <w:rPr>
          <w:rFonts w:ascii="Times New Roman" w:hAnsi="Times New Roman" w:cs="Times New Roman"/>
          <w:sz w:val="28"/>
          <w:szCs w:val="28"/>
        </w:rPr>
        <w:br/>
      </w:r>
      <w:r w:rsidRPr="001C0EFD">
        <w:rPr>
          <w:rFonts w:ascii="Times New Roman" w:hAnsi="Times New Roman" w:cs="Times New Roman"/>
          <w:sz w:val="28"/>
          <w:szCs w:val="28"/>
        </w:rPr>
        <w:t xml:space="preserve">от 16 августа 2023 года № 283 (САЗ 23-33), от 6 июня 2024 года № 219 </w:t>
      </w:r>
      <w:r w:rsidR="00F51990">
        <w:rPr>
          <w:rFonts w:ascii="Times New Roman" w:hAnsi="Times New Roman" w:cs="Times New Roman"/>
          <w:sz w:val="28"/>
          <w:szCs w:val="28"/>
        </w:rPr>
        <w:br/>
      </w:r>
      <w:r w:rsidRPr="001C0EFD">
        <w:rPr>
          <w:rFonts w:ascii="Times New Roman" w:hAnsi="Times New Roman" w:cs="Times New Roman"/>
          <w:sz w:val="28"/>
          <w:szCs w:val="28"/>
        </w:rPr>
        <w:t>(САЗ 24-24),</w:t>
      </w:r>
      <w:r w:rsidRPr="001C0E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C0EFD">
        <w:rPr>
          <w:rFonts w:ascii="Times New Roman" w:hAnsi="Times New Roman" w:cs="Times New Roman"/>
          <w:sz w:val="28"/>
          <w:szCs w:val="28"/>
        </w:rPr>
        <w:t xml:space="preserve">от 3 декабря 2024 года № 537 (САЗ 24-49), следующие изменения </w:t>
      </w:r>
      <w:r w:rsidR="00F51990">
        <w:rPr>
          <w:rFonts w:ascii="Times New Roman" w:hAnsi="Times New Roman" w:cs="Times New Roman"/>
          <w:sz w:val="28"/>
          <w:szCs w:val="28"/>
        </w:rPr>
        <w:br/>
      </w:r>
      <w:r w:rsidRPr="001C0EFD">
        <w:rPr>
          <w:rFonts w:ascii="Times New Roman" w:hAnsi="Times New Roman" w:cs="Times New Roman"/>
          <w:sz w:val="28"/>
          <w:szCs w:val="28"/>
        </w:rPr>
        <w:t>и дополнения:</w:t>
      </w:r>
    </w:p>
    <w:p w14:paraId="49189D35" w14:textId="77777777" w:rsidR="006A4923" w:rsidRPr="001C0EFD" w:rsidRDefault="006A4923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A34B2" w14:textId="7B953702" w:rsidR="00B4079F" w:rsidRPr="001C0EFD" w:rsidRDefault="00B4079F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FD">
        <w:rPr>
          <w:rFonts w:ascii="Times New Roman" w:hAnsi="Times New Roman" w:cs="Times New Roman"/>
          <w:sz w:val="28"/>
          <w:szCs w:val="28"/>
        </w:rPr>
        <w:t>а) часть третью пункта 5</w:t>
      </w:r>
      <w:r w:rsidR="000A5762" w:rsidRPr="001C0EFD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Pr="001C0EFD">
        <w:rPr>
          <w:rFonts w:ascii="Times New Roman" w:hAnsi="Times New Roman" w:cs="Times New Roman"/>
          <w:sz w:val="28"/>
          <w:szCs w:val="28"/>
        </w:rPr>
        <w:t xml:space="preserve"> Приложения № 1 к Приложению к Указу после слов «показатели предназначения для прохождения военной службы 3 </w:t>
      </w:r>
      <w:r w:rsidR="00F51990">
        <w:rPr>
          <w:rFonts w:ascii="Times New Roman" w:hAnsi="Times New Roman" w:cs="Times New Roman"/>
          <w:sz w:val="28"/>
          <w:szCs w:val="28"/>
        </w:rPr>
        <w:br/>
      </w:r>
      <w:r w:rsidRPr="001C0EFD">
        <w:rPr>
          <w:rFonts w:ascii="Times New Roman" w:hAnsi="Times New Roman" w:cs="Times New Roman"/>
          <w:sz w:val="28"/>
          <w:szCs w:val="28"/>
        </w:rPr>
        <w:t xml:space="preserve">и 4» дополнить словами </w:t>
      </w:r>
      <w:r w:rsidR="00D31D48" w:rsidRPr="001C0EFD">
        <w:rPr>
          <w:rFonts w:ascii="Times New Roman" w:hAnsi="Times New Roman" w:cs="Times New Roman"/>
          <w:sz w:val="28"/>
          <w:szCs w:val="28"/>
        </w:rPr>
        <w:t xml:space="preserve">в скобках </w:t>
      </w:r>
      <w:r w:rsidRPr="001C0EFD">
        <w:rPr>
          <w:rFonts w:ascii="Times New Roman" w:hAnsi="Times New Roman" w:cs="Times New Roman"/>
          <w:sz w:val="28"/>
          <w:szCs w:val="28"/>
        </w:rPr>
        <w:t xml:space="preserve">«за исключением следующих подпунктов наименования болезней, степени нарушения функций статей Расписания болезней: подпункта </w:t>
      </w:r>
      <w:r w:rsidR="00730A2F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г</w:t>
      </w:r>
      <w:r w:rsidR="00730A2F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2, подпункта </w:t>
      </w:r>
      <w:r w:rsidR="000E7B95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в</w:t>
      </w:r>
      <w:r w:rsidR="000E7B95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12, подпункта </w:t>
      </w:r>
      <w:r w:rsidR="000E7B95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д</w:t>
      </w:r>
      <w:r w:rsidR="000E7B95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</w:t>
      </w:r>
      <w:r w:rsidR="00F51990">
        <w:rPr>
          <w:rFonts w:ascii="Times New Roman" w:hAnsi="Times New Roman" w:cs="Times New Roman"/>
          <w:sz w:val="28"/>
          <w:szCs w:val="28"/>
        </w:rPr>
        <w:br/>
      </w:r>
      <w:r w:rsidRPr="001C0EFD">
        <w:rPr>
          <w:rFonts w:ascii="Times New Roman" w:hAnsi="Times New Roman" w:cs="Times New Roman"/>
          <w:sz w:val="28"/>
          <w:szCs w:val="28"/>
        </w:rPr>
        <w:t xml:space="preserve">статьи 13, подпункта </w:t>
      </w:r>
      <w:r w:rsidR="000E7B95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г</w:t>
      </w:r>
      <w:r w:rsidR="000E7B95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26, подпункта </w:t>
      </w:r>
      <w:r w:rsidR="000E7B95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г</w:t>
      </w:r>
      <w:r w:rsidR="000E7B95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27, подпункта </w:t>
      </w:r>
      <w:r w:rsidR="000E7B95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в</w:t>
      </w:r>
      <w:r w:rsidR="000E7B95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29, подпункта </w:t>
      </w:r>
      <w:r w:rsidR="000E7B95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б</w:t>
      </w:r>
      <w:r w:rsidR="000E7B95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33, подпункта </w:t>
      </w:r>
      <w:r w:rsidR="000E7B95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г</w:t>
      </w:r>
      <w:r w:rsidR="000E7B95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34, подпункта </w:t>
      </w:r>
      <w:r w:rsidR="000E7B95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г</w:t>
      </w:r>
      <w:r w:rsidR="000E7B95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45,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в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46,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б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47,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в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49,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в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51,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б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55,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в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56,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г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57,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в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58,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в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59,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г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60, подпунктов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г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,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д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62,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г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65,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д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66,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г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67,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г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68,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г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73, подпункта </w:t>
      </w:r>
      <w:r w:rsidR="00A1401C" w:rsidRPr="001C0EFD">
        <w:rPr>
          <w:rFonts w:ascii="Times New Roman" w:hAnsi="Times New Roman" w:cs="Times New Roman"/>
          <w:sz w:val="28"/>
          <w:szCs w:val="28"/>
        </w:rPr>
        <w:t>«</w:t>
      </w:r>
      <w:r w:rsidRPr="001C0EFD">
        <w:rPr>
          <w:rFonts w:ascii="Times New Roman" w:hAnsi="Times New Roman" w:cs="Times New Roman"/>
          <w:sz w:val="28"/>
          <w:szCs w:val="28"/>
        </w:rPr>
        <w:t>г</w:t>
      </w:r>
      <w:r w:rsidR="00A1401C" w:rsidRPr="001C0EFD">
        <w:rPr>
          <w:rFonts w:ascii="Times New Roman" w:hAnsi="Times New Roman" w:cs="Times New Roman"/>
          <w:sz w:val="28"/>
          <w:szCs w:val="28"/>
        </w:rPr>
        <w:t>»</w:t>
      </w:r>
      <w:r w:rsidRPr="001C0EFD">
        <w:rPr>
          <w:rFonts w:ascii="Times New Roman" w:hAnsi="Times New Roman" w:cs="Times New Roman"/>
          <w:sz w:val="28"/>
          <w:szCs w:val="28"/>
        </w:rPr>
        <w:t xml:space="preserve"> статьи 82»;</w:t>
      </w:r>
    </w:p>
    <w:p w14:paraId="1368AF6A" w14:textId="77777777" w:rsidR="001A7244" w:rsidRPr="001C0EFD" w:rsidRDefault="001A7244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48A21" w14:textId="52B4A2C1" w:rsidR="00B4079F" w:rsidRPr="001C0EFD" w:rsidRDefault="00B4079F" w:rsidP="006A49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EF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C0EFD">
        <w:rPr>
          <w:rFonts w:ascii="Times New Roman" w:hAnsi="Times New Roman" w:cs="Times New Roman"/>
          <w:sz w:val="28"/>
          <w:szCs w:val="28"/>
        </w:rPr>
        <w:t xml:space="preserve">) </w:t>
      </w:r>
      <w:r w:rsidR="004A1603" w:rsidRPr="001C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18 Расписания болезней </w:t>
      </w:r>
      <w:r w:rsidRPr="001C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5 раздела 2 Приложения № 1 </w:t>
      </w:r>
      <w:r w:rsidR="001C0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E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Приложению к Указу изложить в следующей редакции:</w:t>
      </w:r>
    </w:p>
    <w:p w14:paraId="0C03B20A" w14:textId="77777777" w:rsidR="00B4079F" w:rsidRPr="001C0EFD" w:rsidRDefault="00B4079F" w:rsidP="006A492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EFD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360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254"/>
        <w:gridCol w:w="1134"/>
        <w:gridCol w:w="1134"/>
        <w:gridCol w:w="1419"/>
      </w:tblGrid>
      <w:tr w:rsidR="00B4079F" w:rsidRPr="00232323" w14:paraId="7E92EA88" w14:textId="77777777" w:rsidTr="00B4079F">
        <w:trPr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1D6E5" w14:textId="77777777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расписания болезней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DC315" w14:textId="77777777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болезней, степень нарушения функции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182C0" w14:textId="77777777" w:rsidR="00285836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Категория годности </w:t>
            </w:r>
          </w:p>
          <w:p w14:paraId="53A1BB15" w14:textId="4431D744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военной службе</w:t>
            </w:r>
          </w:p>
        </w:tc>
      </w:tr>
      <w:tr w:rsidR="00B4079F" w:rsidRPr="00232323" w14:paraId="20793F3C" w14:textId="77777777" w:rsidTr="00B4079F">
        <w:trPr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C658E" w14:textId="77777777" w:rsidR="00B4079F" w:rsidRPr="00232323" w:rsidRDefault="00B4079F" w:rsidP="006A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0E60E" w14:textId="77777777" w:rsidR="00B4079F" w:rsidRPr="00232323" w:rsidRDefault="00B4079F" w:rsidP="006A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68F62" w14:textId="77777777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графа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79CD0" w14:textId="77777777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графа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794EE" w14:textId="77777777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 графа</w:t>
            </w:r>
          </w:p>
        </w:tc>
      </w:tr>
      <w:tr w:rsidR="00B4079F" w:rsidRPr="00232323" w14:paraId="219BD514" w14:textId="77777777" w:rsidTr="00B4079F">
        <w:trPr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BB34A" w14:textId="77777777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A1D90" w14:textId="77777777" w:rsidR="00B4079F" w:rsidRPr="00232323" w:rsidRDefault="00B4079F" w:rsidP="006A492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Расстройства личности: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CE491" w14:textId="77777777" w:rsidR="00B4079F" w:rsidRPr="00232323" w:rsidRDefault="00B4079F" w:rsidP="006A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984EA" w14:textId="77777777" w:rsidR="00B4079F" w:rsidRPr="00232323" w:rsidRDefault="00B4079F" w:rsidP="006A49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CD09B" w14:textId="77777777" w:rsidR="00B4079F" w:rsidRPr="00232323" w:rsidRDefault="00B4079F" w:rsidP="006A49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079F" w:rsidRPr="00232323" w14:paraId="73A9B538" w14:textId="77777777" w:rsidTr="00B4079F">
        <w:trPr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A2306" w14:textId="77777777" w:rsidR="00B4079F" w:rsidRPr="00232323" w:rsidRDefault="00B4079F" w:rsidP="006A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BDB4F" w14:textId="77777777" w:rsidR="00232323" w:rsidRDefault="00B4079F" w:rsidP="006A492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gramEnd"/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резко выраженные, со склонностью к повторным длительным декомпенсациям </w:t>
            </w:r>
          </w:p>
          <w:p w14:paraId="212E9751" w14:textId="0DA915CE" w:rsidR="00B4079F" w:rsidRPr="00232323" w:rsidRDefault="00B4079F" w:rsidP="006A492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proofErr w:type="gramEnd"/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патологическим реакциям;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FB4E7" w14:textId="77777777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BB76B" w14:textId="77777777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851E0" w14:textId="77777777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</w:p>
        </w:tc>
      </w:tr>
      <w:tr w:rsidR="00B4079F" w:rsidRPr="00232323" w14:paraId="1F6F24DB" w14:textId="77777777" w:rsidTr="00B4079F">
        <w:trPr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240C" w14:textId="77777777" w:rsidR="00B4079F" w:rsidRPr="00232323" w:rsidRDefault="00B4079F" w:rsidP="006A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5C031" w14:textId="77777777" w:rsidR="00B4079F" w:rsidRPr="00232323" w:rsidRDefault="00B4079F" w:rsidP="006A492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умеренно выраженные с неустойчивой компенсацией;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AFDDB" w14:textId="77777777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97D2C" w14:textId="77777777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3C6D2" w14:textId="77777777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B4079F" w:rsidRPr="00232323" w14:paraId="3D6EE33F" w14:textId="77777777" w:rsidTr="00B4079F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5B2BD" w14:textId="77777777" w:rsidR="00B4079F" w:rsidRPr="00232323" w:rsidRDefault="00B4079F" w:rsidP="006A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6B395" w14:textId="77777777" w:rsidR="00B4079F" w:rsidRPr="00232323" w:rsidRDefault="00B4079F" w:rsidP="006A4923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умеренно выраженные с компенсацией.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43A71" w14:textId="77777777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2B653" w14:textId="77777777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96D9D" w14:textId="77777777" w:rsidR="00B4079F" w:rsidRPr="00232323" w:rsidRDefault="00B4079F" w:rsidP="006A4923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</w:tbl>
    <w:p w14:paraId="6210BF1A" w14:textId="77777777" w:rsidR="00B4079F" w:rsidRPr="001C0EFD" w:rsidRDefault="00B4079F" w:rsidP="006A4923">
      <w:pPr>
        <w:tabs>
          <w:tab w:val="left" w:pos="31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C0EFD">
        <w:rPr>
          <w:rFonts w:ascii="Times New Roman" w:hAnsi="Times New Roman" w:cs="Times New Roman"/>
          <w:sz w:val="28"/>
          <w:szCs w:val="28"/>
        </w:rPr>
        <w:t>»;</w:t>
      </w:r>
    </w:p>
    <w:p w14:paraId="321E3233" w14:textId="77777777" w:rsidR="001A7244" w:rsidRPr="001C0EFD" w:rsidRDefault="001A7244" w:rsidP="006A4923">
      <w:pPr>
        <w:tabs>
          <w:tab w:val="left" w:pos="31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78032C5" w14:textId="5917BD35" w:rsidR="00B4079F" w:rsidRPr="001C0EFD" w:rsidRDefault="00B4079F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E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0EFD">
        <w:rPr>
          <w:rFonts w:ascii="Times New Roman" w:hAnsi="Times New Roman" w:cs="Times New Roman"/>
          <w:sz w:val="28"/>
          <w:szCs w:val="28"/>
        </w:rPr>
        <w:t xml:space="preserve">) </w:t>
      </w:r>
      <w:r w:rsidR="004A1603" w:rsidRPr="001C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23 Расписания болезней </w:t>
      </w:r>
      <w:r w:rsidRPr="001C0EFD">
        <w:rPr>
          <w:rFonts w:ascii="Times New Roman" w:hAnsi="Times New Roman" w:cs="Times New Roman"/>
          <w:sz w:val="28"/>
          <w:szCs w:val="28"/>
        </w:rPr>
        <w:t xml:space="preserve">главы 6 раздела 2 Приложения № 1 </w:t>
      </w:r>
      <w:r w:rsidR="001C0EFD">
        <w:rPr>
          <w:rFonts w:ascii="Times New Roman" w:hAnsi="Times New Roman" w:cs="Times New Roman"/>
          <w:sz w:val="28"/>
          <w:szCs w:val="28"/>
        </w:rPr>
        <w:br/>
      </w:r>
      <w:r w:rsidRPr="001C0EFD">
        <w:rPr>
          <w:rFonts w:ascii="Times New Roman" w:hAnsi="Times New Roman" w:cs="Times New Roman"/>
          <w:sz w:val="28"/>
          <w:szCs w:val="28"/>
        </w:rPr>
        <w:t>к Приложению к Указу изложить в следующей редакции:</w:t>
      </w:r>
    </w:p>
    <w:p w14:paraId="4C287FBD" w14:textId="77777777" w:rsidR="00B4079F" w:rsidRPr="001C0EFD" w:rsidRDefault="00B4079F" w:rsidP="006A492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EF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TableNormal"/>
        <w:tblW w:w="5000" w:type="pct"/>
        <w:tblCellSpacing w:w="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51"/>
        <w:gridCol w:w="4018"/>
        <w:gridCol w:w="1230"/>
        <w:gridCol w:w="1264"/>
        <w:gridCol w:w="1459"/>
      </w:tblGrid>
      <w:tr w:rsidR="00B4079F" w:rsidRPr="0077612E" w14:paraId="74F3D381" w14:textId="77777777" w:rsidTr="001C0EFD">
        <w:trPr>
          <w:tblCellSpacing w:w="0" w:type="dxa"/>
        </w:trPr>
        <w:tc>
          <w:tcPr>
            <w:tcW w:w="8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95D23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Статья расписания болезней</w:t>
            </w:r>
          </w:p>
        </w:tc>
        <w:tc>
          <w:tcPr>
            <w:tcW w:w="20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DBA3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Наименование болезней,</w:t>
            </w:r>
          </w:p>
          <w:p w14:paraId="7594C079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77612E">
              <w:rPr>
                <w:sz w:val="26"/>
                <w:szCs w:val="26"/>
              </w:rPr>
              <w:t>степень</w:t>
            </w:r>
            <w:proofErr w:type="gramEnd"/>
            <w:r w:rsidRPr="0077612E">
              <w:rPr>
                <w:sz w:val="26"/>
                <w:szCs w:val="26"/>
              </w:rPr>
              <w:t xml:space="preserve"> нарушения функции</w:t>
            </w:r>
          </w:p>
        </w:tc>
        <w:tc>
          <w:tcPr>
            <w:tcW w:w="20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25467" w14:textId="77777777" w:rsid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 xml:space="preserve">Категория годности </w:t>
            </w:r>
          </w:p>
          <w:p w14:paraId="66A8CE00" w14:textId="26DCF6EB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77612E">
              <w:rPr>
                <w:sz w:val="26"/>
                <w:szCs w:val="26"/>
              </w:rPr>
              <w:t>к</w:t>
            </w:r>
            <w:proofErr w:type="gramEnd"/>
            <w:r w:rsidRPr="0077612E">
              <w:rPr>
                <w:sz w:val="26"/>
                <w:szCs w:val="26"/>
              </w:rPr>
              <w:t xml:space="preserve"> военной службе</w:t>
            </w:r>
          </w:p>
        </w:tc>
      </w:tr>
      <w:tr w:rsidR="00B4079F" w:rsidRPr="0077612E" w14:paraId="2EC1189D" w14:textId="77777777" w:rsidTr="001C0E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5DF38" w14:textId="77777777" w:rsidR="00B4079F" w:rsidRPr="0077612E" w:rsidRDefault="00B4079F" w:rsidP="006A492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0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13BCB" w14:textId="77777777" w:rsidR="00B4079F" w:rsidRPr="0077612E" w:rsidRDefault="00B4079F" w:rsidP="006A492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F830F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I графа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3A5A6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II графа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6B66B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III графа</w:t>
            </w:r>
          </w:p>
        </w:tc>
      </w:tr>
      <w:tr w:rsidR="00B4079F" w:rsidRPr="0077612E" w14:paraId="52A96B4A" w14:textId="77777777" w:rsidTr="001C0EFD">
        <w:trPr>
          <w:tblCellSpacing w:w="0" w:type="dxa"/>
        </w:trPr>
        <w:tc>
          <w:tcPr>
            <w:tcW w:w="8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A0E89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23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C6CE6" w14:textId="77777777" w:rsidR="00B4079F" w:rsidRPr="0077612E" w:rsidRDefault="00B4079F" w:rsidP="006A4923">
            <w:pPr>
              <w:spacing w:line="240" w:lineRule="auto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Органические болезни центральной нервной системы, системные атрофии, поражающие преимущественно центральную нервную систему, экстрапирамидные, другие дегенеративные болезни нервной системы, болезни нервно-мышечного синапса и мышц, детский церебральный паралич, врожденные аномалии (пороки развития) нервной системы, опухоли головного, спинного мозга: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5FD6" w14:textId="77777777" w:rsidR="00B4079F" w:rsidRPr="0077612E" w:rsidRDefault="00B4079F" w:rsidP="006A492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7BFF" w14:textId="77777777" w:rsidR="00B4079F" w:rsidRPr="0077612E" w:rsidRDefault="00B4079F" w:rsidP="006A492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0A4A7" w14:textId="77777777" w:rsidR="00B4079F" w:rsidRPr="0077612E" w:rsidRDefault="00B4079F" w:rsidP="006A4923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4079F" w:rsidRPr="0077612E" w14:paraId="699AB5F1" w14:textId="77777777" w:rsidTr="001C0E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5E0CE" w14:textId="77777777" w:rsidR="00B4079F" w:rsidRPr="0077612E" w:rsidRDefault="00B4079F" w:rsidP="006A492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E2064" w14:textId="77777777" w:rsidR="00B4079F" w:rsidRPr="0077612E" w:rsidRDefault="00B4079F" w:rsidP="006A4923">
            <w:pPr>
              <w:spacing w:line="240" w:lineRule="auto"/>
              <w:rPr>
                <w:sz w:val="26"/>
                <w:szCs w:val="26"/>
              </w:rPr>
            </w:pPr>
            <w:proofErr w:type="gramStart"/>
            <w:r w:rsidRPr="0077612E">
              <w:rPr>
                <w:sz w:val="26"/>
                <w:szCs w:val="26"/>
              </w:rPr>
              <w:t>а</w:t>
            </w:r>
            <w:proofErr w:type="gramEnd"/>
            <w:r w:rsidRPr="0077612E">
              <w:rPr>
                <w:sz w:val="26"/>
                <w:szCs w:val="26"/>
              </w:rPr>
              <w:t>) со значительным нарушением функций или быстро прогрессирующим течением;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D8933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Д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54072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Д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623DD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Д</w:t>
            </w:r>
          </w:p>
        </w:tc>
      </w:tr>
      <w:tr w:rsidR="00B4079F" w:rsidRPr="0077612E" w14:paraId="547EDA51" w14:textId="77777777" w:rsidTr="001C0E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2C487" w14:textId="77777777" w:rsidR="00B4079F" w:rsidRPr="0077612E" w:rsidRDefault="00B4079F" w:rsidP="006A492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A510C" w14:textId="77777777" w:rsidR="00B4079F" w:rsidRPr="0077612E" w:rsidRDefault="00B4079F" w:rsidP="006A4923">
            <w:pPr>
              <w:spacing w:line="240" w:lineRule="auto"/>
              <w:rPr>
                <w:sz w:val="26"/>
                <w:szCs w:val="26"/>
              </w:rPr>
            </w:pPr>
            <w:proofErr w:type="gramStart"/>
            <w:r w:rsidRPr="0077612E">
              <w:rPr>
                <w:sz w:val="26"/>
                <w:szCs w:val="26"/>
              </w:rPr>
              <w:t>б</w:t>
            </w:r>
            <w:proofErr w:type="gramEnd"/>
            <w:r w:rsidRPr="0077612E">
              <w:rPr>
                <w:sz w:val="26"/>
                <w:szCs w:val="26"/>
              </w:rPr>
              <w:t>) с умеренным нарушением функций или медленно прогрессирующим течением;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429AD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В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FB679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В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83DFD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В</w:t>
            </w:r>
          </w:p>
        </w:tc>
      </w:tr>
      <w:tr w:rsidR="00B4079F" w:rsidRPr="0077612E" w14:paraId="46638100" w14:textId="77777777" w:rsidTr="001C0E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333D" w14:textId="77777777" w:rsidR="00B4079F" w:rsidRPr="0077612E" w:rsidRDefault="00B4079F" w:rsidP="006A492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C6E85" w14:textId="77777777" w:rsidR="00B4079F" w:rsidRPr="0077612E" w:rsidRDefault="00B4079F" w:rsidP="006A4923">
            <w:pPr>
              <w:spacing w:line="240" w:lineRule="auto"/>
              <w:rPr>
                <w:sz w:val="26"/>
                <w:szCs w:val="26"/>
              </w:rPr>
            </w:pPr>
            <w:proofErr w:type="gramStart"/>
            <w:r w:rsidRPr="0077612E">
              <w:rPr>
                <w:sz w:val="26"/>
                <w:szCs w:val="26"/>
              </w:rPr>
              <w:t>в</w:t>
            </w:r>
            <w:proofErr w:type="gramEnd"/>
            <w:r w:rsidRPr="0077612E">
              <w:rPr>
                <w:sz w:val="26"/>
                <w:szCs w:val="26"/>
              </w:rPr>
              <w:t>) с незначительным нарушением функций;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8C979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В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5E2AD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В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5D7C5" w14:textId="2191578B" w:rsidR="00B4079F" w:rsidRPr="00117140" w:rsidRDefault="00940BD7" w:rsidP="00117140">
            <w:pPr>
              <w:spacing w:line="240" w:lineRule="auto"/>
              <w:ind w:left="-64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Б (В-</w:t>
            </w:r>
            <w:r w:rsidR="00B4079F" w:rsidRPr="00117140">
              <w:rPr>
                <w:spacing w:val="-10"/>
                <w:sz w:val="26"/>
                <w:szCs w:val="26"/>
              </w:rPr>
              <w:t>ИНД)</w:t>
            </w:r>
          </w:p>
        </w:tc>
      </w:tr>
      <w:tr w:rsidR="00B4079F" w:rsidRPr="0077612E" w14:paraId="2974DA33" w14:textId="77777777" w:rsidTr="001C0E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8AE12" w14:textId="77777777" w:rsidR="00B4079F" w:rsidRPr="0077612E" w:rsidRDefault="00B4079F" w:rsidP="006A492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AD6E8" w14:textId="77777777" w:rsidR="00B4079F" w:rsidRPr="0077612E" w:rsidRDefault="00B4079F" w:rsidP="006A4923">
            <w:pPr>
              <w:spacing w:line="240" w:lineRule="auto"/>
              <w:rPr>
                <w:sz w:val="26"/>
                <w:szCs w:val="26"/>
              </w:rPr>
            </w:pPr>
            <w:proofErr w:type="gramStart"/>
            <w:r w:rsidRPr="0077612E">
              <w:rPr>
                <w:sz w:val="26"/>
                <w:szCs w:val="26"/>
              </w:rPr>
              <w:t>г</w:t>
            </w:r>
            <w:proofErr w:type="gramEnd"/>
            <w:r w:rsidRPr="0077612E">
              <w:rPr>
                <w:sz w:val="26"/>
                <w:szCs w:val="26"/>
              </w:rPr>
              <w:t>) при наличии объективных данных без нарушения функций.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3718D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Б-4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7FDF3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Б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610F3" w14:textId="77777777" w:rsidR="00B4079F" w:rsidRPr="0077612E" w:rsidRDefault="00B4079F" w:rsidP="006A492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7612E">
              <w:rPr>
                <w:sz w:val="26"/>
                <w:szCs w:val="26"/>
              </w:rPr>
              <w:t>А</w:t>
            </w:r>
          </w:p>
        </w:tc>
      </w:tr>
    </w:tbl>
    <w:p w14:paraId="02E3988B" w14:textId="77777777" w:rsidR="00B4079F" w:rsidRPr="001C0EFD" w:rsidRDefault="00B4079F" w:rsidP="006A49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C0EFD">
        <w:rPr>
          <w:rFonts w:ascii="Times New Roman" w:hAnsi="Times New Roman" w:cs="Times New Roman"/>
          <w:sz w:val="28"/>
          <w:szCs w:val="28"/>
        </w:rPr>
        <w:t>»;</w:t>
      </w:r>
    </w:p>
    <w:p w14:paraId="705FCC72" w14:textId="35C158B7" w:rsidR="00B4079F" w:rsidRPr="000058AC" w:rsidRDefault="00B4079F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8AC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Pr="000058AC">
        <w:rPr>
          <w:rFonts w:ascii="Times New Roman" w:hAnsi="Times New Roman" w:cs="Times New Roman"/>
          <w:sz w:val="28"/>
          <w:szCs w:val="28"/>
        </w:rPr>
        <w:t xml:space="preserve">) часть пятую пояснений к </w:t>
      </w:r>
      <w:r w:rsidR="004E160B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26 Расписания болезней</w:t>
      </w:r>
      <w:r w:rsidRPr="000058AC">
        <w:rPr>
          <w:rFonts w:ascii="Times New Roman" w:hAnsi="Times New Roman" w:cs="Times New Roman"/>
          <w:sz w:val="28"/>
          <w:szCs w:val="28"/>
        </w:rPr>
        <w:t xml:space="preserve"> главы 6 </w:t>
      </w:r>
      <w:r w:rsidR="00790B4E" w:rsidRPr="000058AC">
        <w:rPr>
          <w:rFonts w:ascii="Times New Roman" w:hAnsi="Times New Roman" w:cs="Times New Roman"/>
          <w:sz w:val="28"/>
          <w:szCs w:val="28"/>
        </w:rPr>
        <w:br/>
      </w:r>
      <w:r w:rsidRPr="000058AC">
        <w:rPr>
          <w:rFonts w:ascii="Times New Roman" w:hAnsi="Times New Roman" w:cs="Times New Roman"/>
          <w:sz w:val="28"/>
          <w:szCs w:val="28"/>
        </w:rPr>
        <w:t xml:space="preserve">раздела 2 Приложения № 1 к Приложению к Указу после слов «имеют тенденцию к восстановлению» дополнить через запятую словами «наличие которых не препятствует поступлению в военно-учебные заведения, </w:t>
      </w:r>
      <w:r w:rsidR="00790B4E" w:rsidRPr="000058AC">
        <w:rPr>
          <w:rFonts w:ascii="Times New Roman" w:hAnsi="Times New Roman" w:cs="Times New Roman"/>
          <w:sz w:val="28"/>
          <w:szCs w:val="28"/>
        </w:rPr>
        <w:br/>
      </w:r>
      <w:r w:rsidRPr="000058AC">
        <w:rPr>
          <w:rFonts w:ascii="Times New Roman" w:hAnsi="Times New Roman" w:cs="Times New Roman"/>
          <w:sz w:val="28"/>
          <w:szCs w:val="28"/>
        </w:rPr>
        <w:t>за исключением случаев нарушения проводимости по моторным и сенсорным волокнам, подтвержденных электромиографией»;</w:t>
      </w:r>
    </w:p>
    <w:p w14:paraId="09CDFBAB" w14:textId="77777777" w:rsidR="001A7244" w:rsidRPr="000058AC" w:rsidRDefault="001A7244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31F9A" w14:textId="338BB492" w:rsidR="00B4079F" w:rsidRPr="000058AC" w:rsidRDefault="00B4079F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8A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058AC">
        <w:rPr>
          <w:rFonts w:ascii="Times New Roman" w:hAnsi="Times New Roman" w:cs="Times New Roman"/>
          <w:sz w:val="28"/>
          <w:szCs w:val="28"/>
        </w:rPr>
        <w:t xml:space="preserve">) часть четвертую пояснений к </w:t>
      </w:r>
      <w:r w:rsidR="004E160B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27 Расписания болезней </w:t>
      </w:r>
      <w:r w:rsidRPr="000058AC">
        <w:rPr>
          <w:rFonts w:ascii="Times New Roman" w:hAnsi="Times New Roman" w:cs="Times New Roman"/>
          <w:sz w:val="28"/>
          <w:szCs w:val="28"/>
        </w:rPr>
        <w:t>главы 6 раздела 2 Приложения № 1 к Приложению к Указу после слов «</w:t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</w:t>
      </w:r>
      <w:r w:rsidR="001C0EFD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ограничивают функцию конечности» дополнить </w:t>
      </w:r>
      <w:r w:rsidRPr="000058AC">
        <w:rPr>
          <w:rFonts w:ascii="Times New Roman" w:hAnsi="Times New Roman" w:cs="Times New Roman"/>
          <w:sz w:val="28"/>
          <w:szCs w:val="28"/>
        </w:rPr>
        <w:t>через запятую</w:t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«наличие которых не препятствует поступлению в военно-учебные заведения, </w:t>
      </w:r>
      <w:r w:rsidR="001C0EFD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 нарушения проводимости по моторным и сенсорным волокнам, подтвержденных электромиографией»;</w:t>
      </w:r>
    </w:p>
    <w:p w14:paraId="64766B69" w14:textId="77777777" w:rsidR="001A7244" w:rsidRPr="000058AC" w:rsidRDefault="001A7244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01237" w14:textId="1E1F8730" w:rsidR="00B4079F" w:rsidRPr="000058AC" w:rsidRDefault="00B4079F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пояснения к </w:t>
      </w:r>
      <w:r w:rsidR="004E160B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33 Расписания болезней </w:t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7 раздела 2 </w:t>
      </w:r>
      <w:r w:rsidR="00D17123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 к Приложению к Указу дополнить частью восьмой следующего содержания:</w:t>
      </w:r>
    </w:p>
    <w:p w14:paraId="24D79575" w14:textId="119B1CDC" w:rsidR="00B4079F" w:rsidRPr="000058AC" w:rsidRDefault="00B4079F" w:rsidP="000D60BB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«Наличие незначительных изменений состояния здоровья</w:t>
      </w:r>
      <w:r w:rsidR="0094455A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60BB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освидетельствуемых</w:t>
      </w:r>
      <w:proofErr w:type="spellEnd"/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bookmarkStart w:id="0" w:name="_Hlk203549451"/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подпункту </w:t>
      </w:r>
      <w:r w:rsidR="0094455A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«б»</w:t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358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1C0EFD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bookmarkEnd w:id="0"/>
      <w:r w:rsidR="00974358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Расписания болезней</w:t>
      </w:r>
      <w:r w:rsidR="00C34C77" w:rsidRPr="000058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</w:t>
      </w:r>
      <w:r w:rsidR="001C0EFD" w:rsidRPr="000058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br/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препятствует поступлению в военно-учебные заведения»;</w:t>
      </w:r>
    </w:p>
    <w:p w14:paraId="598965C3" w14:textId="77777777" w:rsidR="000D60BB" w:rsidRPr="000058AC" w:rsidRDefault="000D60BB" w:rsidP="000D60BB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D7C4C" w14:textId="4C58EAD6" w:rsidR="00B4079F" w:rsidRPr="000058AC" w:rsidRDefault="00B4079F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пояснения к </w:t>
      </w:r>
      <w:r w:rsidR="001E1496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49 Расписания болезней </w:t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10 раздела 2 </w:t>
      </w:r>
      <w:r w:rsidR="00FF0227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 к Приложению к Указу дополнить частью шестой следующего содержания:</w:t>
      </w:r>
    </w:p>
    <w:p w14:paraId="37E664CC" w14:textId="06AED2E8" w:rsidR="00B4079F" w:rsidRPr="000058AC" w:rsidRDefault="00B4079F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«Аллергические риниты не являются препятствием к поступлению </w:t>
      </w:r>
      <w:r w:rsidR="001C0EFD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военно-учебные заведения»;</w:t>
      </w:r>
    </w:p>
    <w:p w14:paraId="0711CB2D" w14:textId="77777777" w:rsidR="000D60BB" w:rsidRPr="000058AC" w:rsidRDefault="000D60BB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5C33F" w14:textId="3C650CF3" w:rsidR="00B4079F" w:rsidRPr="000058AC" w:rsidRDefault="00B4079F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пояснения к </w:t>
      </w:r>
      <w:r w:rsidR="001E1496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</w:t>
      </w:r>
      <w:r w:rsidR="002A6C2A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1E1496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Расписания болезней</w:t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10 раздела 2 </w:t>
      </w:r>
      <w:r w:rsidR="00CB2A84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 к Приложению к Указу дополнить частью седьмой следующего содержания:</w:t>
      </w:r>
    </w:p>
    <w:p w14:paraId="04101943" w14:textId="2F4BDA09" w:rsidR="00B4079F" w:rsidRPr="000058AC" w:rsidRDefault="00B4079F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«Хронические заболевания бронхолегочного аппарата и плевры </w:t>
      </w:r>
      <w:r w:rsidR="001C0EFD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хронический бронхит, хроническая </w:t>
      </w:r>
      <w:proofErr w:type="spellStart"/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обструктивная</w:t>
      </w:r>
      <w:proofErr w:type="spellEnd"/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 легких (при отсутствии дыхательной недостаточности)</w:t>
      </w:r>
      <w:r w:rsidR="004B69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являются препятствием </w:t>
      </w:r>
      <w:r w:rsidR="001C0EFD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поступлению в военно-учебные заведения»;</w:t>
      </w:r>
    </w:p>
    <w:p w14:paraId="7892038E" w14:textId="77777777" w:rsidR="000D60BB" w:rsidRPr="000058AC" w:rsidRDefault="000D60BB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5DCDA" w14:textId="745C36FD" w:rsidR="00B4079F" w:rsidRPr="000058AC" w:rsidRDefault="00B4079F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пояснения к </w:t>
      </w:r>
      <w:r w:rsidR="001E1496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58 Расписания болезней </w:t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11 раздела 2 </w:t>
      </w:r>
      <w:r w:rsidR="007B2408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 к Приложению к Указу дополнить частью девятой следующего содержания:</w:t>
      </w:r>
    </w:p>
    <w:p w14:paraId="0E169C45" w14:textId="1B0E5481" w:rsidR="00B4079F" w:rsidRPr="007B5ADA" w:rsidRDefault="00B4079F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«Лица, </w:t>
      </w:r>
      <w:proofErr w:type="spellStart"/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освидетельствуемые</w:t>
      </w:r>
      <w:proofErr w:type="spellEnd"/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подпункту </w:t>
      </w:r>
      <w:r w:rsidR="00974358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«в»</w:t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358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974358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 w:rsidR="005C470F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Расписания болезней, признаются годными к обучению в военно-учебных заведениях </w:t>
      </w:r>
      <w:r w:rsidR="001C0EFD"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обострений в течение 5 (пяти) лет, за исключением случаев грубой деформации луковицы двенадцатиперстной кишки»;</w:t>
      </w:r>
    </w:p>
    <w:p w14:paraId="3F2432A7" w14:textId="77777777" w:rsidR="000D60BB" w:rsidRPr="007B5ADA" w:rsidRDefault="000D60BB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5CD53" w14:textId="33065E4B" w:rsidR="00B4079F" w:rsidRPr="007B5ADA" w:rsidRDefault="00B4079F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proofErr w:type="gramEnd"/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пояснения к </w:t>
      </w:r>
      <w:r w:rsidR="001E1496"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59 Расписания </w:t>
      </w:r>
      <w:r w:rsidR="001E1496" w:rsidRPr="007B5AD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болезней </w:t>
      </w:r>
      <w:r w:rsidRPr="007B5AD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главы 11 раздела 2 </w:t>
      </w:r>
      <w:r w:rsidR="00B106B0" w:rsidRPr="007B5AD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Pr="007B5AD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Приложения № 1</w:t>
      </w:r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Приложению к Указу дополнить частью восьмой следующего содержания:</w:t>
      </w:r>
    </w:p>
    <w:p w14:paraId="06529CDB" w14:textId="0FCC98B5" w:rsidR="00B4079F" w:rsidRPr="007B5ADA" w:rsidRDefault="00B4079F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«Лица, </w:t>
      </w:r>
      <w:proofErr w:type="spellStart"/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освидетельствуемые</w:t>
      </w:r>
      <w:proofErr w:type="spellEnd"/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подпункту </w:t>
      </w:r>
      <w:r w:rsidR="0067736F"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>«в»</w:t>
      </w:r>
      <w:bookmarkStart w:id="1" w:name="_GoBack"/>
      <w:bookmarkEnd w:id="1"/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36F"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графе</w:t>
      </w:r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 w:rsidR="005C470F"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Расписания болезней, признаются годными к обучению в военно-учебных заведениях, </w:t>
      </w:r>
      <w:r w:rsidR="001C0EFD"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 хронических вирусных гепатитов».</w:t>
      </w:r>
    </w:p>
    <w:p w14:paraId="44EA5E8D" w14:textId="77777777" w:rsidR="006A4923" w:rsidRPr="007B5ADA" w:rsidRDefault="006A4923" w:rsidP="006A4923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83DC6" w14:textId="77777777" w:rsidR="00B4079F" w:rsidRPr="007B5ADA" w:rsidRDefault="00B4079F" w:rsidP="006A49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дня, следующего за днем официального опубликования.</w:t>
      </w:r>
    </w:p>
    <w:p w14:paraId="5BF22A12" w14:textId="77777777" w:rsidR="000E77B6" w:rsidRPr="007B5ADA" w:rsidRDefault="000E77B6" w:rsidP="006A49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66785" w14:textId="77777777" w:rsidR="001C0EFD" w:rsidRPr="007B5ADA" w:rsidRDefault="001C0EFD" w:rsidP="006A49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96E33" w14:textId="77777777" w:rsidR="00B106B0" w:rsidRPr="007B5ADA" w:rsidRDefault="00B106B0" w:rsidP="006A49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EDD32" w14:textId="77777777" w:rsidR="000E77B6" w:rsidRPr="007B5ADA" w:rsidRDefault="000E77B6" w:rsidP="006A49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F37F7" w14:textId="370B01F0" w:rsidR="003B4C8E" w:rsidRPr="007B5ADA" w:rsidRDefault="003B4C8E" w:rsidP="003B4C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5A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ПРЕЗИДЕНТ                                                                                            </w:t>
      </w:r>
      <w:r w:rsidR="001C0EFD" w:rsidRPr="007B5A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</w:t>
      </w:r>
      <w:r w:rsidRPr="007B5A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В.КРАСНОСЕЛЬСКИЙ</w:t>
      </w:r>
    </w:p>
    <w:p w14:paraId="0C22D98C" w14:textId="77777777" w:rsidR="003B4C8E" w:rsidRPr="007B5ADA" w:rsidRDefault="003B4C8E" w:rsidP="003B4C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08908" w14:textId="77777777" w:rsidR="003B4C8E" w:rsidRPr="007B5ADA" w:rsidRDefault="003B4C8E" w:rsidP="003B4C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63824" w14:textId="77777777" w:rsidR="001C0EFD" w:rsidRPr="007B5ADA" w:rsidRDefault="001C0EFD" w:rsidP="003B4C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5C216" w14:textId="4DB42517" w:rsidR="003B4C8E" w:rsidRPr="007B5ADA" w:rsidRDefault="003B4C8E" w:rsidP="003B4C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ADA"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4F439916" w14:textId="2B7BF6B4" w:rsidR="003B4C8E" w:rsidRPr="007B5ADA" w:rsidRDefault="007B5ADA" w:rsidP="003B4C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C8E"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B4C8E"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г.</w:t>
      </w:r>
    </w:p>
    <w:p w14:paraId="6F54CBB0" w14:textId="12D698DC" w:rsidR="003B4C8E" w:rsidRPr="007B5ADA" w:rsidRDefault="007B5ADA" w:rsidP="003B4C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285</w:t>
      </w:r>
    </w:p>
    <w:p w14:paraId="50988E92" w14:textId="77777777" w:rsidR="000E77B6" w:rsidRPr="007B5ADA" w:rsidRDefault="000E77B6" w:rsidP="006A49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4EE4B" w14:textId="77777777" w:rsidR="000E77B6" w:rsidRPr="007B5ADA" w:rsidRDefault="000E77B6" w:rsidP="006A49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A3599" w14:textId="77777777" w:rsidR="00B4079F" w:rsidRPr="007B5ADA" w:rsidRDefault="00B4079F" w:rsidP="00B4079F">
      <w:pPr>
        <w:tabs>
          <w:tab w:val="left" w:pos="3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079F" w:rsidRPr="007B5ADA" w:rsidSect="003B4C8E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56E2D" w14:textId="77777777" w:rsidR="00673C12" w:rsidRDefault="00673C12" w:rsidP="003B4C8E">
      <w:pPr>
        <w:spacing w:after="0" w:line="240" w:lineRule="auto"/>
      </w:pPr>
      <w:r>
        <w:separator/>
      </w:r>
    </w:p>
  </w:endnote>
  <w:endnote w:type="continuationSeparator" w:id="0">
    <w:p w14:paraId="0EB44994" w14:textId="77777777" w:rsidR="00673C12" w:rsidRDefault="00673C12" w:rsidP="003B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82685" w14:textId="77777777" w:rsidR="00673C12" w:rsidRDefault="00673C12" w:rsidP="003B4C8E">
      <w:pPr>
        <w:spacing w:after="0" w:line="240" w:lineRule="auto"/>
      </w:pPr>
      <w:r>
        <w:separator/>
      </w:r>
    </w:p>
  </w:footnote>
  <w:footnote w:type="continuationSeparator" w:id="0">
    <w:p w14:paraId="54E8CB9E" w14:textId="77777777" w:rsidR="00673C12" w:rsidRDefault="00673C12" w:rsidP="003B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-828289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auto"/>
      </w:rPr>
    </w:sdtEndPr>
    <w:sdtContent>
      <w:p w14:paraId="4C6658EF" w14:textId="690CBDCC" w:rsidR="003B4C8E" w:rsidRPr="007B5ADA" w:rsidRDefault="003B4C8E">
        <w:pPr>
          <w:pStyle w:val="ad"/>
          <w:jc w:val="center"/>
          <w:rPr>
            <w:rFonts w:ascii="Times New Roman" w:hAnsi="Times New Roman" w:cs="Times New Roman"/>
          </w:rPr>
        </w:pPr>
        <w:r w:rsidRPr="007B5ADA">
          <w:rPr>
            <w:rFonts w:ascii="Times New Roman" w:hAnsi="Times New Roman" w:cs="Times New Roman"/>
          </w:rPr>
          <w:fldChar w:fldCharType="begin"/>
        </w:r>
        <w:r w:rsidRPr="007B5ADA">
          <w:rPr>
            <w:rFonts w:ascii="Times New Roman" w:hAnsi="Times New Roman" w:cs="Times New Roman"/>
          </w:rPr>
          <w:instrText>PAGE   \* MERGEFORMAT</w:instrText>
        </w:r>
        <w:r w:rsidRPr="007B5ADA">
          <w:rPr>
            <w:rFonts w:ascii="Times New Roman" w:hAnsi="Times New Roman" w:cs="Times New Roman"/>
          </w:rPr>
          <w:fldChar w:fldCharType="separate"/>
        </w:r>
        <w:r w:rsidR="007B5ADA">
          <w:rPr>
            <w:rFonts w:ascii="Times New Roman" w:hAnsi="Times New Roman" w:cs="Times New Roman"/>
            <w:noProof/>
          </w:rPr>
          <w:t>- 2 -</w:t>
        </w:r>
        <w:r w:rsidRPr="007B5ADA">
          <w:rPr>
            <w:rFonts w:ascii="Times New Roman" w:hAnsi="Times New Roman" w:cs="Times New Roman"/>
          </w:rPr>
          <w:fldChar w:fldCharType="end"/>
        </w:r>
      </w:p>
    </w:sdtContent>
  </w:sdt>
  <w:p w14:paraId="09647D5C" w14:textId="77777777" w:rsidR="003B4C8E" w:rsidRDefault="003B4C8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BD"/>
    <w:rsid w:val="000058AC"/>
    <w:rsid w:val="000269DF"/>
    <w:rsid w:val="00085CBC"/>
    <w:rsid w:val="000A44DD"/>
    <w:rsid w:val="000A5762"/>
    <w:rsid w:val="000D60BB"/>
    <w:rsid w:val="000E0728"/>
    <w:rsid w:val="000E2F54"/>
    <w:rsid w:val="000E77B6"/>
    <w:rsid w:val="000E7B95"/>
    <w:rsid w:val="000F168E"/>
    <w:rsid w:val="00102877"/>
    <w:rsid w:val="00117140"/>
    <w:rsid w:val="00123436"/>
    <w:rsid w:val="0013013D"/>
    <w:rsid w:val="0014541A"/>
    <w:rsid w:val="0015067E"/>
    <w:rsid w:val="00170B9D"/>
    <w:rsid w:val="001A7244"/>
    <w:rsid w:val="001B2E66"/>
    <w:rsid w:val="001C0EFD"/>
    <w:rsid w:val="001C69DB"/>
    <w:rsid w:val="001E1496"/>
    <w:rsid w:val="001E1749"/>
    <w:rsid w:val="001E7B60"/>
    <w:rsid w:val="001F42E7"/>
    <w:rsid w:val="0021275B"/>
    <w:rsid w:val="00223B57"/>
    <w:rsid w:val="00232323"/>
    <w:rsid w:val="00251620"/>
    <w:rsid w:val="002727FA"/>
    <w:rsid w:val="00285698"/>
    <w:rsid w:val="00285836"/>
    <w:rsid w:val="002A6C2A"/>
    <w:rsid w:val="002C764F"/>
    <w:rsid w:val="002D19E7"/>
    <w:rsid w:val="002D42F0"/>
    <w:rsid w:val="002F326D"/>
    <w:rsid w:val="0032688A"/>
    <w:rsid w:val="00347F8A"/>
    <w:rsid w:val="00386CB5"/>
    <w:rsid w:val="003A4D88"/>
    <w:rsid w:val="003B4C8E"/>
    <w:rsid w:val="003C4927"/>
    <w:rsid w:val="003E03EC"/>
    <w:rsid w:val="003E58D0"/>
    <w:rsid w:val="00435532"/>
    <w:rsid w:val="00444F10"/>
    <w:rsid w:val="004604E3"/>
    <w:rsid w:val="00467395"/>
    <w:rsid w:val="00472E00"/>
    <w:rsid w:val="00485BCD"/>
    <w:rsid w:val="00497A50"/>
    <w:rsid w:val="004A1603"/>
    <w:rsid w:val="004A3400"/>
    <w:rsid w:val="004A6CAB"/>
    <w:rsid w:val="004B365F"/>
    <w:rsid w:val="004B691C"/>
    <w:rsid w:val="004B7288"/>
    <w:rsid w:val="004D3369"/>
    <w:rsid w:val="004E160B"/>
    <w:rsid w:val="004F26C9"/>
    <w:rsid w:val="004F3129"/>
    <w:rsid w:val="0050005D"/>
    <w:rsid w:val="00501EB2"/>
    <w:rsid w:val="00507689"/>
    <w:rsid w:val="00514AE6"/>
    <w:rsid w:val="00514BF9"/>
    <w:rsid w:val="0052080A"/>
    <w:rsid w:val="00552412"/>
    <w:rsid w:val="005537AC"/>
    <w:rsid w:val="005553B1"/>
    <w:rsid w:val="00566B4D"/>
    <w:rsid w:val="005B1D2E"/>
    <w:rsid w:val="005C470F"/>
    <w:rsid w:val="005D3681"/>
    <w:rsid w:val="005D6DC0"/>
    <w:rsid w:val="005F096B"/>
    <w:rsid w:val="005F5CF5"/>
    <w:rsid w:val="00621387"/>
    <w:rsid w:val="0063605D"/>
    <w:rsid w:val="0064283D"/>
    <w:rsid w:val="00656A5B"/>
    <w:rsid w:val="00673C12"/>
    <w:rsid w:val="0067736F"/>
    <w:rsid w:val="006A4923"/>
    <w:rsid w:val="006D3616"/>
    <w:rsid w:val="00703BFB"/>
    <w:rsid w:val="007112D0"/>
    <w:rsid w:val="00711458"/>
    <w:rsid w:val="00712E03"/>
    <w:rsid w:val="00722517"/>
    <w:rsid w:val="00730A2F"/>
    <w:rsid w:val="0075233C"/>
    <w:rsid w:val="007559DD"/>
    <w:rsid w:val="00755FCF"/>
    <w:rsid w:val="0077307B"/>
    <w:rsid w:val="00774065"/>
    <w:rsid w:val="0077612E"/>
    <w:rsid w:val="00780ED3"/>
    <w:rsid w:val="00790664"/>
    <w:rsid w:val="00790B4E"/>
    <w:rsid w:val="007B2408"/>
    <w:rsid w:val="007B42BC"/>
    <w:rsid w:val="007B5ADA"/>
    <w:rsid w:val="007C4FC3"/>
    <w:rsid w:val="007D1E5B"/>
    <w:rsid w:val="007D305B"/>
    <w:rsid w:val="007D4B18"/>
    <w:rsid w:val="00802490"/>
    <w:rsid w:val="00805979"/>
    <w:rsid w:val="00820739"/>
    <w:rsid w:val="00853BCC"/>
    <w:rsid w:val="00862C80"/>
    <w:rsid w:val="00864393"/>
    <w:rsid w:val="00886C0D"/>
    <w:rsid w:val="0089574D"/>
    <w:rsid w:val="008959D1"/>
    <w:rsid w:val="008A0C69"/>
    <w:rsid w:val="008B4648"/>
    <w:rsid w:val="008B5C96"/>
    <w:rsid w:val="008B78C7"/>
    <w:rsid w:val="008F3143"/>
    <w:rsid w:val="00900820"/>
    <w:rsid w:val="009031EC"/>
    <w:rsid w:val="009052ED"/>
    <w:rsid w:val="009153A2"/>
    <w:rsid w:val="00921988"/>
    <w:rsid w:val="0093535E"/>
    <w:rsid w:val="00940BD7"/>
    <w:rsid w:val="0094455A"/>
    <w:rsid w:val="00960CBD"/>
    <w:rsid w:val="00974358"/>
    <w:rsid w:val="0098364C"/>
    <w:rsid w:val="00996086"/>
    <w:rsid w:val="009A2D11"/>
    <w:rsid w:val="009B6D30"/>
    <w:rsid w:val="009D222E"/>
    <w:rsid w:val="009D4D10"/>
    <w:rsid w:val="009F7EB2"/>
    <w:rsid w:val="00A04054"/>
    <w:rsid w:val="00A1401C"/>
    <w:rsid w:val="00A2436A"/>
    <w:rsid w:val="00A25B89"/>
    <w:rsid w:val="00A40D50"/>
    <w:rsid w:val="00A518FA"/>
    <w:rsid w:val="00A5231E"/>
    <w:rsid w:val="00A627A8"/>
    <w:rsid w:val="00A7311B"/>
    <w:rsid w:val="00A75C30"/>
    <w:rsid w:val="00A8376D"/>
    <w:rsid w:val="00AD5E90"/>
    <w:rsid w:val="00AE022C"/>
    <w:rsid w:val="00AF370A"/>
    <w:rsid w:val="00AF50CB"/>
    <w:rsid w:val="00B106B0"/>
    <w:rsid w:val="00B25000"/>
    <w:rsid w:val="00B326A2"/>
    <w:rsid w:val="00B32FB2"/>
    <w:rsid w:val="00B338B4"/>
    <w:rsid w:val="00B4079F"/>
    <w:rsid w:val="00B94F48"/>
    <w:rsid w:val="00BA05D2"/>
    <w:rsid w:val="00BC0AE7"/>
    <w:rsid w:val="00BD3DB6"/>
    <w:rsid w:val="00C12143"/>
    <w:rsid w:val="00C25FED"/>
    <w:rsid w:val="00C34C77"/>
    <w:rsid w:val="00C436D5"/>
    <w:rsid w:val="00C45084"/>
    <w:rsid w:val="00C51C9E"/>
    <w:rsid w:val="00CB2503"/>
    <w:rsid w:val="00CB2A84"/>
    <w:rsid w:val="00CE130D"/>
    <w:rsid w:val="00CE6FCD"/>
    <w:rsid w:val="00CF59C3"/>
    <w:rsid w:val="00D10A23"/>
    <w:rsid w:val="00D17123"/>
    <w:rsid w:val="00D31D48"/>
    <w:rsid w:val="00D3230E"/>
    <w:rsid w:val="00D41EA0"/>
    <w:rsid w:val="00D62B63"/>
    <w:rsid w:val="00D8070D"/>
    <w:rsid w:val="00D80FB8"/>
    <w:rsid w:val="00D8578F"/>
    <w:rsid w:val="00DB31E0"/>
    <w:rsid w:val="00DC4F7E"/>
    <w:rsid w:val="00DE092D"/>
    <w:rsid w:val="00DE353F"/>
    <w:rsid w:val="00DF4260"/>
    <w:rsid w:val="00E53F07"/>
    <w:rsid w:val="00E7058F"/>
    <w:rsid w:val="00E837AB"/>
    <w:rsid w:val="00E9768D"/>
    <w:rsid w:val="00EA7FEB"/>
    <w:rsid w:val="00EB4F41"/>
    <w:rsid w:val="00EB55F2"/>
    <w:rsid w:val="00EB782A"/>
    <w:rsid w:val="00F3442E"/>
    <w:rsid w:val="00F46308"/>
    <w:rsid w:val="00F51990"/>
    <w:rsid w:val="00F65B29"/>
    <w:rsid w:val="00F66D9E"/>
    <w:rsid w:val="00F776FC"/>
    <w:rsid w:val="00F85CC8"/>
    <w:rsid w:val="00F86F96"/>
    <w:rsid w:val="00F97CBC"/>
    <w:rsid w:val="00FC73CE"/>
    <w:rsid w:val="00FE21B3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8BF9"/>
  <w15:chartTrackingRefBased/>
  <w15:docId w15:val="{3B4586E0-7024-4B14-8BB3-30EF83AE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F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59"/>
    <w:rsid w:val="00EB7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EB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0">
    <w:name w:val="msonormal"/>
    <w:basedOn w:val="a"/>
    <w:uiPriority w:val="99"/>
    <w:rsid w:val="00B4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7B42B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42B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42B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42B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42BC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6A492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B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4C8E"/>
  </w:style>
  <w:style w:type="paragraph" w:styleId="af">
    <w:name w:val="footer"/>
    <w:basedOn w:val="a"/>
    <w:link w:val="af0"/>
    <w:uiPriority w:val="99"/>
    <w:unhideWhenUsed/>
    <w:rsid w:val="003B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312A-6D50-4588-89E5-7D6E19D9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Бугаева В.Н.</cp:lastModifiedBy>
  <cp:revision>99</cp:revision>
  <cp:lastPrinted>2025-07-28T12:06:00Z</cp:lastPrinted>
  <dcterms:created xsi:type="dcterms:W3CDTF">2025-07-10T12:54:00Z</dcterms:created>
  <dcterms:modified xsi:type="dcterms:W3CDTF">2025-07-28T12:06:00Z</dcterms:modified>
</cp:coreProperties>
</file>